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090AC8">
      <w:pPr>
        <w:spacing w:line="560" w:lineRule="exact"/>
        <w:jc w:val="center"/>
        <w:rPr>
          <w:rFonts w:hint="eastAsia" w:ascii="宋体" w:hAnsi="宋体"/>
          <w:color w:val="auto"/>
          <w:sz w:val="44"/>
          <w:szCs w:val="44"/>
        </w:rPr>
      </w:pPr>
      <w:r>
        <w:rPr>
          <w:rFonts w:hint="eastAsia" w:ascii="宋体" w:hAnsi="宋体"/>
          <w:color w:val="auto"/>
          <w:sz w:val="44"/>
          <w:szCs w:val="44"/>
        </w:rPr>
        <w:t>深圳市南山区慢性病防治院服务类采购</w:t>
      </w:r>
    </w:p>
    <w:p w14:paraId="6EEF84D4">
      <w:pPr>
        <w:spacing w:line="560" w:lineRule="exact"/>
        <w:jc w:val="center"/>
        <w:rPr>
          <w:rFonts w:hint="eastAsia" w:ascii="宋体" w:hAnsi="宋体"/>
          <w:color w:val="auto"/>
          <w:sz w:val="44"/>
          <w:szCs w:val="44"/>
        </w:rPr>
      </w:pPr>
      <w:r>
        <w:rPr>
          <w:rFonts w:hint="eastAsia" w:ascii="宋体" w:hAnsi="宋体"/>
          <w:color w:val="auto"/>
          <w:sz w:val="44"/>
          <w:szCs w:val="44"/>
        </w:rPr>
        <w:t>询价公告</w:t>
      </w:r>
    </w:p>
    <w:p w14:paraId="75C7A19D">
      <w:pPr>
        <w:spacing w:line="560" w:lineRule="exact"/>
        <w:jc w:val="center"/>
        <w:rPr>
          <w:rFonts w:hint="eastAsia" w:ascii="宋体" w:hAnsi="宋体"/>
          <w:color w:val="auto"/>
          <w:sz w:val="16"/>
          <w:szCs w:val="16"/>
        </w:rPr>
      </w:pPr>
    </w:p>
    <w:p w14:paraId="068FF3C2">
      <w:pPr>
        <w:spacing w:after="156" w:afterLines="50"/>
        <w:ind w:firstLine="525" w:firstLineChars="250"/>
        <w:rPr>
          <w:rFonts w:hint="eastAsia" w:ascii="宋体" w:hAnsi="宋体" w:cs="宋体"/>
          <w:color w:val="auto"/>
        </w:rPr>
      </w:pPr>
      <w:r>
        <w:rPr>
          <w:rFonts w:hint="eastAsia" w:ascii="宋体" w:hAnsi="宋体" w:cs="宋体"/>
          <w:color w:val="auto"/>
        </w:rPr>
        <w:t>我院现对下列服务类项</w:t>
      </w:r>
      <w:bookmarkStart w:id="0" w:name="_GoBack"/>
      <w:bookmarkEnd w:id="0"/>
      <w:r>
        <w:rPr>
          <w:rFonts w:hint="eastAsia" w:ascii="宋体" w:hAnsi="宋体" w:cs="宋体"/>
          <w:color w:val="auto"/>
        </w:rPr>
        <w:t>目进行询价采购，欢迎具有资质的供应商前来参与报价。</w:t>
      </w:r>
    </w:p>
    <w:p w14:paraId="5B87065B">
      <w:pPr>
        <w:numPr>
          <w:ilvl w:val="0"/>
          <w:numId w:val="1"/>
        </w:numPr>
        <w:spacing w:after="156" w:afterLines="50"/>
        <w:rPr>
          <w:rFonts w:hint="eastAsia" w:ascii="宋体" w:hAnsi="宋体"/>
          <w:color w:val="auto"/>
        </w:rPr>
      </w:pPr>
      <w:r>
        <w:rPr>
          <w:rFonts w:hint="eastAsia" w:ascii="宋体" w:hAnsi="宋体" w:cs="宋体"/>
          <w:color w:val="auto"/>
        </w:rPr>
        <w:t>询价编号</w:t>
      </w:r>
      <w:r>
        <w:rPr>
          <w:rFonts w:hint="eastAsia" w:ascii="宋体" w:hAnsi="宋体" w:cs="宋体"/>
          <w:color w:val="auto"/>
        </w:rPr>
        <w:t>：XJ-FWXM-2025-0</w:t>
      </w:r>
      <w:r>
        <w:rPr>
          <w:rFonts w:hint="eastAsia" w:ascii="宋体" w:hAnsi="宋体" w:cs="宋体"/>
          <w:color w:val="auto"/>
          <w:lang w:val="en-US" w:eastAsia="zh-CN"/>
        </w:rPr>
        <w:t>22</w:t>
      </w:r>
    </w:p>
    <w:p w14:paraId="660BC9B1">
      <w:pPr>
        <w:keepNext/>
        <w:keepLines/>
        <w:spacing w:before="156" w:beforeLines="50"/>
        <w:jc w:val="center"/>
        <w:outlineLvl w:val="0"/>
        <w:rPr>
          <w:rFonts w:ascii="仿宋_GB2312" w:hAnsi="Calibri" w:eastAsia="宋体" w:cs="Times New Roman"/>
          <w:b/>
          <w:bCs/>
          <w:color w:val="auto"/>
          <w:kern w:val="44"/>
          <w:sz w:val="32"/>
          <w:szCs w:val="32"/>
        </w:rPr>
      </w:pPr>
      <w:r>
        <w:rPr>
          <w:rFonts w:hint="eastAsia" w:ascii="Calibri" w:hAnsi="Calibri" w:eastAsia="宋体" w:cs="Times New Roman"/>
          <w:b/>
          <w:bCs/>
          <w:color w:val="auto"/>
          <w:kern w:val="44"/>
          <w:sz w:val="36"/>
          <w:szCs w:val="44"/>
        </w:rPr>
        <w:t>二、项目需求书</w:t>
      </w:r>
    </w:p>
    <w:tbl>
      <w:tblPr>
        <w:tblStyle w:val="14"/>
        <w:tblW w:w="9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
        <w:gridCol w:w="1315"/>
        <w:gridCol w:w="4456"/>
        <w:gridCol w:w="1350"/>
        <w:gridCol w:w="1608"/>
      </w:tblGrid>
      <w:tr w14:paraId="322B7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706" w:type="dxa"/>
            <w:gridSpan w:val="2"/>
            <w:tcBorders>
              <w:top w:val="single" w:color="auto" w:sz="4" w:space="0"/>
              <w:left w:val="single" w:color="auto" w:sz="4" w:space="0"/>
              <w:bottom w:val="single" w:color="auto" w:sz="4" w:space="0"/>
              <w:right w:val="single" w:color="auto" w:sz="4" w:space="0"/>
            </w:tcBorders>
            <w:vAlign w:val="center"/>
          </w:tcPr>
          <w:p w14:paraId="6D457612">
            <w:pPr>
              <w:snapToGrid w:val="0"/>
              <w:spacing w:line="276" w:lineRule="auto"/>
              <w:rPr>
                <w:rFonts w:hint="eastAsia" w:ascii="宋体" w:hAnsi="宋体" w:eastAsia="宋体" w:cs="Times New Roman"/>
                <w:color w:val="auto"/>
              </w:rPr>
            </w:pPr>
            <w:r>
              <w:rPr>
                <w:rFonts w:hint="eastAsia" w:ascii="宋体" w:hAnsi="宋体" w:eastAsia="宋体" w:cs="Times New Roman"/>
                <w:color w:val="auto"/>
              </w:rPr>
              <w:t>项目名称</w:t>
            </w:r>
          </w:p>
        </w:tc>
        <w:tc>
          <w:tcPr>
            <w:tcW w:w="4456" w:type="dxa"/>
            <w:tcBorders>
              <w:top w:val="single" w:color="auto" w:sz="4" w:space="0"/>
              <w:left w:val="single" w:color="auto" w:sz="4" w:space="0"/>
              <w:bottom w:val="single" w:color="auto" w:sz="4" w:space="0"/>
              <w:right w:val="single" w:color="auto" w:sz="4" w:space="0"/>
            </w:tcBorders>
            <w:vAlign w:val="center"/>
          </w:tcPr>
          <w:p w14:paraId="1CCF8A86">
            <w:pPr>
              <w:snapToGrid w:val="0"/>
              <w:spacing w:line="276" w:lineRule="auto"/>
              <w:rPr>
                <w:rFonts w:hint="eastAsia" w:ascii="宋体" w:hAnsi="宋体" w:eastAsia="宋体" w:cs="Times New Roman"/>
                <w:color w:val="auto"/>
              </w:rPr>
            </w:pPr>
            <w:r>
              <w:rPr>
                <w:rFonts w:hint="eastAsia" w:ascii="宋体" w:hAnsi="宋体" w:eastAsia="宋体" w:cs="Times New Roman"/>
                <w:color w:val="auto"/>
              </w:rPr>
              <w:t>生物安全柜检测校准服务</w:t>
            </w:r>
          </w:p>
        </w:tc>
        <w:tc>
          <w:tcPr>
            <w:tcW w:w="1350" w:type="dxa"/>
            <w:tcBorders>
              <w:top w:val="single" w:color="auto" w:sz="4" w:space="0"/>
              <w:left w:val="single" w:color="auto" w:sz="4" w:space="0"/>
              <w:bottom w:val="single" w:color="auto" w:sz="4" w:space="0"/>
              <w:right w:val="single" w:color="auto" w:sz="4" w:space="0"/>
            </w:tcBorders>
            <w:vAlign w:val="center"/>
          </w:tcPr>
          <w:p w14:paraId="6102056D">
            <w:pPr>
              <w:snapToGrid w:val="0"/>
              <w:spacing w:line="276" w:lineRule="auto"/>
              <w:rPr>
                <w:rFonts w:hint="eastAsia" w:ascii="宋体" w:hAnsi="宋体" w:eastAsia="宋体" w:cs="Times New Roman"/>
                <w:color w:val="auto"/>
              </w:rPr>
            </w:pPr>
            <w:r>
              <w:rPr>
                <w:rFonts w:hint="eastAsia" w:ascii="宋体" w:hAnsi="宋体" w:eastAsia="宋体" w:cs="Times New Roman"/>
                <w:color w:val="auto"/>
              </w:rPr>
              <w:t>采购类型</w:t>
            </w:r>
          </w:p>
        </w:tc>
        <w:tc>
          <w:tcPr>
            <w:tcW w:w="1608" w:type="dxa"/>
            <w:tcBorders>
              <w:top w:val="single" w:color="auto" w:sz="4" w:space="0"/>
              <w:left w:val="single" w:color="auto" w:sz="4" w:space="0"/>
              <w:bottom w:val="single" w:color="auto" w:sz="4" w:space="0"/>
              <w:right w:val="single" w:color="auto" w:sz="4" w:space="0"/>
            </w:tcBorders>
            <w:vAlign w:val="center"/>
          </w:tcPr>
          <w:p w14:paraId="25972321">
            <w:pPr>
              <w:snapToGrid w:val="0"/>
              <w:spacing w:line="276" w:lineRule="auto"/>
              <w:rPr>
                <w:rFonts w:hint="eastAsia" w:ascii="宋体" w:hAnsi="宋体" w:eastAsia="宋体" w:cs="Times New Roman"/>
                <w:color w:val="auto"/>
              </w:rPr>
            </w:pPr>
            <w:r>
              <w:rPr>
                <w:rFonts w:hint="eastAsia" w:ascii="宋体" w:hAnsi="宋体" w:eastAsia="宋体" w:cs="Times New Roman"/>
                <w:color w:val="auto"/>
              </w:rPr>
              <w:t>服务类</w:t>
            </w:r>
          </w:p>
        </w:tc>
      </w:tr>
      <w:tr w14:paraId="1CA49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706" w:type="dxa"/>
            <w:gridSpan w:val="2"/>
            <w:tcBorders>
              <w:top w:val="single" w:color="auto" w:sz="4" w:space="0"/>
              <w:left w:val="single" w:color="auto" w:sz="4" w:space="0"/>
              <w:bottom w:val="single" w:color="auto" w:sz="4" w:space="0"/>
              <w:right w:val="single" w:color="auto" w:sz="4" w:space="0"/>
            </w:tcBorders>
            <w:vAlign w:val="center"/>
          </w:tcPr>
          <w:p w14:paraId="49A01830">
            <w:pPr>
              <w:snapToGrid w:val="0"/>
              <w:spacing w:line="276" w:lineRule="auto"/>
              <w:rPr>
                <w:rFonts w:hint="eastAsia" w:ascii="宋体" w:hAnsi="宋体" w:eastAsia="宋体" w:cs="Times New Roman"/>
                <w:color w:val="auto"/>
              </w:rPr>
            </w:pPr>
            <w:r>
              <w:rPr>
                <w:rFonts w:hint="eastAsia" w:ascii="宋体" w:hAnsi="宋体" w:eastAsia="宋体" w:cs="Times New Roman"/>
                <w:color w:val="auto"/>
              </w:rPr>
              <w:t>采购需求科室</w:t>
            </w:r>
          </w:p>
        </w:tc>
        <w:tc>
          <w:tcPr>
            <w:tcW w:w="4456" w:type="dxa"/>
            <w:tcBorders>
              <w:top w:val="single" w:color="auto" w:sz="4" w:space="0"/>
              <w:left w:val="single" w:color="auto" w:sz="4" w:space="0"/>
              <w:bottom w:val="single" w:color="auto" w:sz="4" w:space="0"/>
              <w:right w:val="single" w:color="auto" w:sz="4" w:space="0"/>
            </w:tcBorders>
            <w:vAlign w:val="center"/>
          </w:tcPr>
          <w:p w14:paraId="1DCCCBAC">
            <w:pPr>
              <w:snapToGrid w:val="0"/>
              <w:spacing w:line="276" w:lineRule="auto"/>
              <w:rPr>
                <w:rFonts w:hint="eastAsia" w:ascii="宋体" w:hAnsi="宋体" w:eastAsia="宋体" w:cs="Times New Roman"/>
                <w:color w:val="auto"/>
              </w:rPr>
            </w:pPr>
            <w:r>
              <w:rPr>
                <w:rFonts w:ascii="宋体" w:hAnsi="宋体" w:eastAsia="宋体" w:cs="Times New Roman"/>
                <w:color w:val="auto"/>
              </w:rPr>
              <w:t>检验科</w:t>
            </w:r>
          </w:p>
        </w:tc>
        <w:tc>
          <w:tcPr>
            <w:tcW w:w="1350" w:type="dxa"/>
            <w:tcBorders>
              <w:top w:val="single" w:color="auto" w:sz="4" w:space="0"/>
              <w:left w:val="single" w:color="auto" w:sz="4" w:space="0"/>
              <w:bottom w:val="single" w:color="auto" w:sz="4" w:space="0"/>
              <w:right w:val="single" w:color="auto" w:sz="4" w:space="0"/>
            </w:tcBorders>
            <w:vAlign w:val="center"/>
          </w:tcPr>
          <w:p w14:paraId="54AE3DFB">
            <w:pPr>
              <w:snapToGrid w:val="0"/>
              <w:spacing w:line="276" w:lineRule="auto"/>
              <w:rPr>
                <w:rFonts w:hint="eastAsia" w:ascii="宋体" w:hAnsi="宋体" w:eastAsia="宋体" w:cs="Times New Roman"/>
                <w:color w:val="auto"/>
              </w:rPr>
            </w:pPr>
            <w:r>
              <w:rPr>
                <w:rFonts w:hint="eastAsia" w:ascii="宋体" w:hAnsi="宋体" w:eastAsia="宋体" w:cs="Times New Roman"/>
                <w:color w:val="auto"/>
              </w:rPr>
              <w:t>采购方式</w:t>
            </w:r>
          </w:p>
        </w:tc>
        <w:tc>
          <w:tcPr>
            <w:tcW w:w="1608" w:type="dxa"/>
            <w:tcBorders>
              <w:top w:val="single" w:color="auto" w:sz="4" w:space="0"/>
              <w:left w:val="single" w:color="auto" w:sz="4" w:space="0"/>
              <w:bottom w:val="single" w:color="auto" w:sz="4" w:space="0"/>
              <w:right w:val="single" w:color="auto" w:sz="4" w:space="0"/>
            </w:tcBorders>
            <w:vAlign w:val="center"/>
          </w:tcPr>
          <w:p w14:paraId="3B8C9E60">
            <w:pPr>
              <w:snapToGrid w:val="0"/>
              <w:spacing w:line="276" w:lineRule="auto"/>
              <w:rPr>
                <w:rFonts w:hint="eastAsia" w:ascii="宋体" w:hAnsi="宋体" w:eastAsia="宋体" w:cs="Times New Roman"/>
                <w:color w:val="auto"/>
              </w:rPr>
            </w:pPr>
            <w:r>
              <w:rPr>
                <w:rFonts w:hint="eastAsia" w:ascii="宋体" w:hAnsi="宋体" w:eastAsia="宋体" w:cs="Times New Roman"/>
                <w:color w:val="auto"/>
              </w:rPr>
              <w:t>询价采购</w:t>
            </w:r>
          </w:p>
        </w:tc>
      </w:tr>
      <w:tr w14:paraId="7275D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706" w:type="dxa"/>
            <w:gridSpan w:val="2"/>
            <w:tcBorders>
              <w:top w:val="single" w:color="auto" w:sz="4" w:space="0"/>
              <w:left w:val="single" w:color="auto" w:sz="4" w:space="0"/>
              <w:bottom w:val="single" w:color="auto" w:sz="4" w:space="0"/>
              <w:right w:val="single" w:color="auto" w:sz="4" w:space="0"/>
            </w:tcBorders>
            <w:vAlign w:val="center"/>
          </w:tcPr>
          <w:p w14:paraId="71CF85FD">
            <w:pPr>
              <w:snapToGrid w:val="0"/>
              <w:spacing w:line="276" w:lineRule="auto"/>
              <w:rPr>
                <w:rFonts w:hint="eastAsia" w:ascii="宋体" w:hAnsi="宋体" w:eastAsia="宋体" w:cs="Times New Roman"/>
                <w:color w:val="auto"/>
              </w:rPr>
            </w:pPr>
            <w:r>
              <w:rPr>
                <w:rFonts w:hint="eastAsia" w:ascii="宋体" w:hAnsi="宋体" w:eastAsia="宋体" w:cs="Times New Roman"/>
                <w:color w:val="auto"/>
              </w:rPr>
              <w:t>最高限额（元）</w:t>
            </w:r>
          </w:p>
        </w:tc>
        <w:tc>
          <w:tcPr>
            <w:tcW w:w="4456" w:type="dxa"/>
            <w:tcBorders>
              <w:top w:val="single" w:color="auto" w:sz="4" w:space="0"/>
              <w:left w:val="single" w:color="auto" w:sz="4" w:space="0"/>
              <w:bottom w:val="single" w:color="auto" w:sz="4" w:space="0"/>
              <w:right w:val="single" w:color="auto" w:sz="4" w:space="0"/>
            </w:tcBorders>
            <w:vAlign w:val="center"/>
          </w:tcPr>
          <w:p w14:paraId="41542742">
            <w:pPr>
              <w:snapToGrid w:val="0"/>
              <w:spacing w:line="276" w:lineRule="auto"/>
              <w:rPr>
                <w:rFonts w:hint="eastAsia" w:ascii="宋体" w:hAnsi="宋体" w:eastAsia="宋体" w:cs="Times New Roman"/>
                <w:color w:val="auto"/>
              </w:rPr>
            </w:pPr>
            <w:r>
              <w:rPr>
                <w:rFonts w:hint="eastAsia" w:ascii="宋体" w:hAnsi="宋体" w:eastAsia="宋体" w:cs="Times New Roman"/>
                <w:color w:val="auto"/>
              </w:rPr>
              <w:t>238</w:t>
            </w:r>
            <w:r>
              <w:rPr>
                <w:rFonts w:ascii="宋体" w:hAnsi="宋体" w:eastAsia="宋体" w:cs="Times New Roman"/>
                <w:color w:val="auto"/>
              </w:rPr>
              <w:t>00.00元</w:t>
            </w:r>
            <w:r>
              <w:rPr>
                <w:rFonts w:hint="eastAsia" w:ascii="宋体" w:hAnsi="宋体" w:eastAsia="宋体" w:cs="Times New Roman"/>
                <w:color w:val="auto"/>
              </w:rPr>
              <w:t xml:space="preserve"> 大写：贰万叁仟捌佰元整</w:t>
            </w:r>
          </w:p>
        </w:tc>
        <w:tc>
          <w:tcPr>
            <w:tcW w:w="1350" w:type="dxa"/>
            <w:tcBorders>
              <w:top w:val="single" w:color="auto" w:sz="4" w:space="0"/>
              <w:left w:val="single" w:color="auto" w:sz="4" w:space="0"/>
              <w:bottom w:val="single" w:color="auto" w:sz="4" w:space="0"/>
              <w:right w:val="single" w:color="auto" w:sz="4" w:space="0"/>
            </w:tcBorders>
            <w:vAlign w:val="center"/>
          </w:tcPr>
          <w:p w14:paraId="5472DBA1">
            <w:pPr>
              <w:snapToGrid w:val="0"/>
              <w:spacing w:line="276" w:lineRule="auto"/>
              <w:rPr>
                <w:rFonts w:hint="eastAsia" w:ascii="宋体" w:hAnsi="宋体" w:eastAsia="宋体" w:cs="Times New Roman"/>
                <w:color w:val="auto"/>
              </w:rPr>
            </w:pPr>
          </w:p>
        </w:tc>
        <w:tc>
          <w:tcPr>
            <w:tcW w:w="1608" w:type="dxa"/>
            <w:tcBorders>
              <w:top w:val="single" w:color="auto" w:sz="4" w:space="0"/>
              <w:left w:val="single" w:color="auto" w:sz="4" w:space="0"/>
              <w:bottom w:val="single" w:color="auto" w:sz="4" w:space="0"/>
              <w:right w:val="single" w:color="auto" w:sz="4" w:space="0"/>
            </w:tcBorders>
            <w:vAlign w:val="center"/>
          </w:tcPr>
          <w:p w14:paraId="5560825C">
            <w:pPr>
              <w:snapToGrid w:val="0"/>
              <w:spacing w:line="276" w:lineRule="auto"/>
              <w:rPr>
                <w:rFonts w:hint="eastAsia" w:ascii="宋体" w:hAnsi="宋体" w:eastAsia="宋体" w:cs="Times New Roman"/>
                <w:color w:val="auto"/>
              </w:rPr>
            </w:pPr>
          </w:p>
        </w:tc>
      </w:tr>
      <w:tr w14:paraId="125AF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1" w:hRule="atLeast"/>
          <w:jc w:val="center"/>
        </w:trPr>
        <w:tc>
          <w:tcPr>
            <w:tcW w:w="391" w:type="dxa"/>
            <w:tcBorders>
              <w:top w:val="single" w:color="auto" w:sz="4" w:space="0"/>
              <w:left w:val="single" w:color="auto" w:sz="4" w:space="0"/>
              <w:bottom w:val="single" w:color="auto" w:sz="4" w:space="0"/>
              <w:right w:val="single" w:color="auto" w:sz="4" w:space="0"/>
            </w:tcBorders>
            <w:vAlign w:val="center"/>
          </w:tcPr>
          <w:p w14:paraId="2E1AEBFF">
            <w:pPr>
              <w:spacing w:line="276" w:lineRule="auto"/>
              <w:jc w:val="center"/>
              <w:rPr>
                <w:rFonts w:hint="eastAsia" w:ascii="宋体" w:hAnsi="宋体" w:eastAsia="宋体" w:cs="Times New Roman"/>
                <w:b/>
                <w:color w:val="auto"/>
              </w:rPr>
            </w:pPr>
            <w:r>
              <w:rPr>
                <w:rFonts w:hint="eastAsia" w:ascii="宋体" w:hAnsi="宋体" w:eastAsia="宋体" w:cs="宋体"/>
                <w:b/>
                <w:color w:val="auto"/>
                <w:kern w:val="0"/>
                <w:szCs w:val="21"/>
              </w:rPr>
              <w:t>投标人资质要求</w:t>
            </w:r>
          </w:p>
        </w:tc>
        <w:tc>
          <w:tcPr>
            <w:tcW w:w="8729" w:type="dxa"/>
            <w:gridSpan w:val="4"/>
            <w:tcBorders>
              <w:top w:val="single" w:color="auto" w:sz="4" w:space="0"/>
              <w:left w:val="single" w:color="auto" w:sz="4" w:space="0"/>
              <w:bottom w:val="single" w:color="auto" w:sz="4" w:space="0"/>
              <w:right w:val="single" w:color="auto" w:sz="4" w:space="0"/>
            </w:tcBorders>
          </w:tcPr>
          <w:p w14:paraId="7776FAF5">
            <w:pPr>
              <w:numPr>
                <w:ilvl w:val="0"/>
                <w:numId w:val="2"/>
              </w:numPr>
              <w:spacing w:line="360" w:lineRule="auto"/>
              <w:ind w:firstLine="420" w:firstLineChars="200"/>
              <w:rPr>
                <w:rFonts w:hint="eastAsia" w:cs="Calibri" w:asciiTheme="minorEastAsia" w:hAnsiTheme="minorEastAsia"/>
                <w:color w:val="auto"/>
                <w:szCs w:val="21"/>
              </w:rPr>
            </w:pPr>
            <w:r>
              <w:rPr>
                <w:rFonts w:hint="eastAsia" w:cs="宋体" w:asciiTheme="minorEastAsia" w:hAnsiTheme="minorEastAsia"/>
                <w:color w:val="auto"/>
                <w:kern w:val="0"/>
                <w:szCs w:val="21"/>
              </w:rPr>
              <w:t>投标人必须是在中华人民共和国国内注册的具有合法经营资格的国内独立法人</w:t>
            </w:r>
            <w:r>
              <w:rPr>
                <w:rFonts w:cs="宋体" w:asciiTheme="minorEastAsia" w:hAnsiTheme="minorEastAsia"/>
                <w:color w:val="auto"/>
                <w:kern w:val="0"/>
                <w:szCs w:val="21"/>
              </w:rPr>
              <w:t>并具有相关资质</w:t>
            </w:r>
            <w:r>
              <w:rPr>
                <w:rFonts w:hint="eastAsia" w:cs="Calibri" w:asciiTheme="minorEastAsia" w:hAnsiTheme="minorEastAsia"/>
                <w:color w:val="auto"/>
                <w:szCs w:val="21"/>
              </w:rPr>
              <w:t>；</w:t>
            </w:r>
          </w:p>
          <w:p w14:paraId="2A867979">
            <w:pPr>
              <w:pStyle w:val="2"/>
              <w:rPr>
                <w:rFonts w:hint="eastAsia" w:ascii="宋体" w:hAnsi="宋体" w:eastAsia="宋体" w:cs="宋体"/>
                <w:b w:val="0"/>
                <w:bCs w:val="0"/>
                <w:color w:val="auto"/>
                <w:sz w:val="21"/>
                <w:szCs w:val="21"/>
              </w:rPr>
            </w:pPr>
            <w:r>
              <w:rPr>
                <w:rFonts w:hint="eastAsia"/>
                <w:color w:val="auto"/>
              </w:rPr>
              <w:t xml:space="preserve">   </w:t>
            </w:r>
            <w:r>
              <w:rPr>
                <w:rFonts w:hint="eastAsia" w:ascii="宋体" w:hAnsi="宋体" w:eastAsia="宋体" w:cs="宋体"/>
                <w:b w:val="0"/>
                <w:bCs w:val="0"/>
                <w:color w:val="auto"/>
                <w:sz w:val="21"/>
                <w:szCs w:val="21"/>
              </w:rPr>
              <w:t>2、本项目不接受联合体报价，不允许分包；</w:t>
            </w:r>
          </w:p>
          <w:p w14:paraId="03EEE32A">
            <w:pPr>
              <w:spacing w:line="360" w:lineRule="auto"/>
              <w:ind w:firstLine="420" w:firstLineChars="200"/>
              <w:rPr>
                <w:rFonts w:hint="eastAsia" w:cs="宋体" w:asciiTheme="minorEastAsia" w:hAnsiTheme="minorEastAsia"/>
                <w:color w:val="auto"/>
                <w:kern w:val="0"/>
                <w:szCs w:val="21"/>
              </w:rPr>
            </w:pPr>
            <w:r>
              <w:rPr>
                <w:rFonts w:cs="宋体" w:asciiTheme="minorEastAsia" w:hAnsiTheme="minorEastAsia"/>
                <w:color w:val="auto"/>
                <w:kern w:val="0"/>
                <w:szCs w:val="21"/>
              </w:rPr>
              <w:t>3</w:t>
            </w:r>
            <w:r>
              <w:rPr>
                <w:rFonts w:hint="eastAsia" w:cs="宋体" w:asciiTheme="minorEastAsia" w:hAnsiTheme="minorEastAsia"/>
                <w:color w:val="auto"/>
                <w:kern w:val="0"/>
                <w:szCs w:val="21"/>
              </w:rPr>
              <w:t>、投标人</w:t>
            </w:r>
            <w:r>
              <w:rPr>
                <w:rFonts w:cs="宋体" w:asciiTheme="minorEastAsia" w:hAnsiTheme="minorEastAsia"/>
                <w:color w:val="auto"/>
                <w:kern w:val="0"/>
                <w:szCs w:val="21"/>
              </w:rPr>
              <w:t>必须</w:t>
            </w:r>
            <w:r>
              <w:rPr>
                <w:rFonts w:hint="eastAsia" w:cs="宋体" w:asciiTheme="minorEastAsia" w:hAnsiTheme="minorEastAsia"/>
                <w:color w:val="auto"/>
                <w:kern w:val="0"/>
                <w:szCs w:val="21"/>
              </w:rPr>
              <w:t>承诺参与本项目投标前三年内，在经营活动中没有重大违法记录，以及参与本项目采购活动时不存在被有关部门禁止参与政府采购活动且在有效期内的情况（提供承诺函</w:t>
            </w:r>
            <w:r>
              <w:rPr>
                <w:rFonts w:cs="宋体" w:asciiTheme="minorEastAsia" w:hAnsiTheme="minorEastAsia"/>
                <w:color w:val="auto"/>
                <w:kern w:val="0"/>
                <w:szCs w:val="21"/>
              </w:rPr>
              <w:t>）</w:t>
            </w:r>
            <w:r>
              <w:rPr>
                <w:rFonts w:hint="eastAsia" w:cs="宋体" w:asciiTheme="minorEastAsia" w:hAnsiTheme="minorEastAsia"/>
                <w:color w:val="auto"/>
                <w:kern w:val="0"/>
                <w:szCs w:val="21"/>
              </w:rPr>
              <w:t>。</w:t>
            </w:r>
          </w:p>
          <w:p w14:paraId="7E8D6B51">
            <w:pPr>
              <w:spacing w:line="276" w:lineRule="auto"/>
              <w:rPr>
                <w:rFonts w:hint="eastAsia" w:ascii="宋体" w:hAnsi="宋体" w:eastAsia="宋体" w:cs="Times New Roman"/>
                <w:color w:val="auto"/>
                <w:szCs w:val="21"/>
              </w:rPr>
            </w:pPr>
          </w:p>
        </w:tc>
      </w:tr>
      <w:tr w14:paraId="61CC4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391" w:type="dxa"/>
            <w:tcBorders>
              <w:top w:val="single" w:color="auto" w:sz="4" w:space="0"/>
              <w:left w:val="single" w:color="auto" w:sz="4" w:space="0"/>
              <w:bottom w:val="single" w:color="auto" w:sz="4" w:space="0"/>
              <w:right w:val="single" w:color="auto" w:sz="4" w:space="0"/>
            </w:tcBorders>
            <w:vAlign w:val="center"/>
          </w:tcPr>
          <w:p w14:paraId="45DA4AC2">
            <w:pPr>
              <w:spacing w:line="276" w:lineRule="auto"/>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具体技术要求</w:t>
            </w:r>
          </w:p>
        </w:tc>
        <w:tc>
          <w:tcPr>
            <w:tcW w:w="8729" w:type="dxa"/>
            <w:gridSpan w:val="4"/>
            <w:tcBorders>
              <w:top w:val="single" w:color="auto" w:sz="4" w:space="0"/>
              <w:left w:val="single" w:color="auto" w:sz="4" w:space="0"/>
              <w:bottom w:val="single" w:color="auto" w:sz="4" w:space="0"/>
              <w:right w:val="single" w:color="auto" w:sz="4" w:space="0"/>
            </w:tcBorders>
          </w:tcPr>
          <w:p w14:paraId="5E560042">
            <w:pPr>
              <w:spacing w:line="560" w:lineRule="exact"/>
              <w:jc w:val="left"/>
              <w:rPr>
                <w:rFonts w:hint="eastAsia" w:ascii="宋体" w:hAnsi="宋体" w:eastAsia="宋体"/>
                <w:color w:val="auto"/>
                <w:kern w:val="0"/>
                <w:sz w:val="24"/>
                <w:szCs w:val="24"/>
              </w:rPr>
            </w:pPr>
            <w:r>
              <w:rPr>
                <w:rFonts w:hint="eastAsia" w:ascii="宋体" w:hAnsi="宋体" w:eastAsia="宋体" w:cs="宋体"/>
                <w:b/>
                <w:bCs/>
                <w:color w:val="auto"/>
                <w:szCs w:val="21"/>
              </w:rPr>
              <w:t>一、项目背景：</w:t>
            </w:r>
            <w:r>
              <w:rPr>
                <w:rFonts w:hint="eastAsia" w:cs="宋体" w:asciiTheme="minorEastAsia" w:hAnsiTheme="minorEastAsia"/>
                <w:color w:val="auto"/>
                <w:kern w:val="0"/>
                <w:szCs w:val="21"/>
              </w:rPr>
              <w:t>生物安全柜是减少实验操作人员受到有害气溶胶危害的重要设备，是生物安全实验室必备设备之一。根据生物安全操作指南，每年度需要对生物安全柜的高效过滤完整性、流入及下降气流流速、气流烟雾模式、噪声、照明、紫外灯消毒效果等进行性能验证，并按需更换配件以确保设备功能的有效性。检验科目前有生物安全柜</w:t>
            </w:r>
            <w:r>
              <w:rPr>
                <w:rFonts w:cs="宋体" w:asciiTheme="minorEastAsia" w:hAnsiTheme="minorEastAsia"/>
                <w:color w:val="auto"/>
                <w:kern w:val="0"/>
                <w:szCs w:val="21"/>
              </w:rPr>
              <w:t>1</w:t>
            </w:r>
            <w:r>
              <w:rPr>
                <w:rFonts w:hint="eastAsia" w:cs="宋体" w:asciiTheme="minorEastAsia" w:hAnsiTheme="minorEastAsia"/>
                <w:color w:val="auto"/>
                <w:kern w:val="0"/>
                <w:szCs w:val="21"/>
              </w:rPr>
              <w:t>7台（根据医院及科室业务发展的需要，今后将新购若干台），为满足生物安全需要，特申请对所有生物安全柜进行年度性能验证服务。</w:t>
            </w:r>
          </w:p>
          <w:p w14:paraId="2454C982">
            <w:pPr>
              <w:pStyle w:val="25"/>
              <w:spacing w:before="0" w:after="0" w:line="240" w:lineRule="auto"/>
              <w:ind w:firstLine="0" w:firstLineChars="0"/>
              <w:rPr>
                <w:rFonts w:hint="eastAsia" w:ascii="宋体" w:hAnsi="宋体" w:eastAsia="宋体" w:cs="宋体"/>
                <w:color w:val="auto"/>
                <w:sz w:val="21"/>
                <w:szCs w:val="21"/>
              </w:rPr>
            </w:pPr>
          </w:p>
          <w:p w14:paraId="63C3386C">
            <w:pPr>
              <w:jc w:val="left"/>
              <w:rPr>
                <w:rFonts w:hint="eastAsia" w:ascii="宋体" w:hAnsi="宋体" w:eastAsia="宋体" w:cs="宋体"/>
                <w:b/>
                <w:color w:val="auto"/>
                <w:szCs w:val="21"/>
              </w:rPr>
            </w:pPr>
            <w:r>
              <w:rPr>
                <w:rFonts w:hint="eastAsia" w:ascii="宋体" w:hAnsi="宋体" w:eastAsia="宋体" w:cs="宋体"/>
                <w:b/>
                <w:color w:val="auto"/>
                <w:szCs w:val="21"/>
              </w:rPr>
              <w:t>二、技术要求：</w:t>
            </w:r>
          </w:p>
          <w:p w14:paraId="535869EA">
            <w:pPr>
              <w:spacing w:line="560" w:lineRule="exact"/>
              <w:jc w:val="left"/>
              <w:rPr>
                <w:rFonts w:hint="eastAsia" w:ascii="宋体" w:hAnsi="宋体" w:eastAsia="宋体" w:cs="宋体"/>
                <w:b/>
                <w:color w:val="auto"/>
                <w:sz w:val="24"/>
                <w:szCs w:val="24"/>
              </w:rPr>
            </w:pPr>
            <w:r>
              <w:rPr>
                <w:rFonts w:hint="eastAsia" w:ascii="宋体" w:hAnsi="宋体" w:eastAsia="宋体" w:cs="宋体"/>
                <w:b/>
                <w:color w:val="auto"/>
                <w:sz w:val="24"/>
                <w:szCs w:val="24"/>
              </w:rPr>
              <w:t>（一）项目服务内容：检测生物安全柜性能指标是否合格</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
              <w:gridCol w:w="1058"/>
              <w:gridCol w:w="1646"/>
              <w:gridCol w:w="5241"/>
            </w:tblGrid>
            <w:tr w14:paraId="77876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 w:type="pct"/>
                  <w:vAlign w:val="center"/>
                </w:tcPr>
                <w:p w14:paraId="01E41851">
                  <w:pPr>
                    <w:jc w:val="center"/>
                    <w:rPr>
                      <w:rFonts w:hint="eastAsia" w:ascii="宋体" w:hAnsi="宋体"/>
                      <w:color w:val="auto"/>
                      <w:sz w:val="18"/>
                      <w:szCs w:val="18"/>
                    </w:rPr>
                  </w:pPr>
                  <w:r>
                    <w:rPr>
                      <w:rFonts w:hint="eastAsia" w:ascii="宋体" w:hAnsi="宋体"/>
                      <w:color w:val="auto"/>
                      <w:sz w:val="18"/>
                      <w:szCs w:val="18"/>
                    </w:rPr>
                    <w:t>1</w:t>
                  </w:r>
                </w:p>
              </w:tc>
              <w:tc>
                <w:tcPr>
                  <w:tcW w:w="597" w:type="pct"/>
                  <w:vAlign w:val="center"/>
                </w:tcPr>
                <w:p w14:paraId="26859AE4">
                  <w:pPr>
                    <w:jc w:val="left"/>
                    <w:rPr>
                      <w:rFonts w:hint="eastAsia" w:ascii="宋体" w:hAnsi="宋体"/>
                      <w:color w:val="auto"/>
                      <w:sz w:val="18"/>
                      <w:szCs w:val="18"/>
                    </w:rPr>
                  </w:pPr>
                  <w:r>
                    <w:rPr>
                      <w:rFonts w:hint="eastAsia" w:ascii="宋体" w:hAnsi="宋体"/>
                      <w:color w:val="auto"/>
                      <w:sz w:val="18"/>
                      <w:szCs w:val="18"/>
                    </w:rPr>
                    <w:t>高效过滤器</w:t>
                  </w:r>
                  <w:r>
                    <w:rPr>
                      <w:rFonts w:ascii="宋体" w:hAnsi="宋体"/>
                      <w:color w:val="auto"/>
                      <w:sz w:val="18"/>
                      <w:szCs w:val="18"/>
                    </w:rPr>
                    <w:t>完整性</w:t>
                  </w:r>
                </w:p>
              </w:tc>
              <w:tc>
                <w:tcPr>
                  <w:tcW w:w="929" w:type="pct"/>
                  <w:vAlign w:val="center"/>
                </w:tcPr>
                <w:p w14:paraId="6E93F0E6">
                  <w:pPr>
                    <w:jc w:val="left"/>
                    <w:rPr>
                      <w:rFonts w:hint="eastAsia" w:ascii="宋体" w:hAnsi="宋体"/>
                      <w:color w:val="auto"/>
                      <w:sz w:val="18"/>
                      <w:szCs w:val="18"/>
                    </w:rPr>
                  </w:pPr>
                  <w:r>
                    <w:rPr>
                      <w:rFonts w:hint="eastAsia" w:ascii="宋体" w:hAnsi="宋体" w:cs="宋体"/>
                      <w:color w:val="auto"/>
                      <w:sz w:val="18"/>
                      <w:szCs w:val="18"/>
                    </w:rPr>
                    <w:t>Ⅱ级生物安全柜YY0569-2011（6.3.2）</w:t>
                  </w:r>
                </w:p>
              </w:tc>
              <w:tc>
                <w:tcPr>
                  <w:tcW w:w="2959" w:type="pct"/>
                  <w:vAlign w:val="center"/>
                </w:tcPr>
                <w:p w14:paraId="3C8D90C1">
                  <w:pPr>
                    <w:jc w:val="left"/>
                    <w:rPr>
                      <w:rFonts w:hint="eastAsia" w:ascii="宋体" w:hAnsi="宋体" w:cs="宋体"/>
                      <w:bCs/>
                      <w:color w:val="auto"/>
                      <w:sz w:val="18"/>
                      <w:szCs w:val="18"/>
                    </w:rPr>
                  </w:pPr>
                  <w:r>
                    <w:rPr>
                      <w:rFonts w:hint="eastAsia" w:ascii="宋体" w:hAnsi="宋体" w:cs="宋体"/>
                      <w:bCs/>
                      <w:color w:val="auto"/>
                      <w:sz w:val="18"/>
                      <w:szCs w:val="18"/>
                    </w:rPr>
                    <w:t>参考范围：</w:t>
                  </w:r>
                </w:p>
                <w:p w14:paraId="1DF716DB">
                  <w:pPr>
                    <w:jc w:val="left"/>
                    <w:rPr>
                      <w:rFonts w:hint="eastAsia" w:ascii="宋体" w:hAnsi="宋体" w:cs="宋体"/>
                      <w:bCs/>
                      <w:color w:val="auto"/>
                      <w:sz w:val="18"/>
                      <w:szCs w:val="18"/>
                    </w:rPr>
                  </w:pPr>
                  <w:r>
                    <w:rPr>
                      <w:rFonts w:hint="eastAsia" w:ascii="宋体" w:hAnsi="宋体" w:cs="宋体"/>
                      <w:bCs/>
                      <w:color w:val="auto"/>
                      <w:sz w:val="18"/>
                      <w:szCs w:val="18"/>
                    </w:rPr>
                    <w:t>下降气流高效过滤器：</w:t>
                  </w:r>
                </w:p>
                <w:p w14:paraId="2B3481C3">
                  <w:pPr>
                    <w:numPr>
                      <w:ilvl w:val="0"/>
                      <w:numId w:val="3"/>
                    </w:numPr>
                    <w:ind w:left="360" w:hanging="360"/>
                    <w:jc w:val="left"/>
                    <w:rPr>
                      <w:rFonts w:hint="eastAsia" w:ascii="宋体" w:hAnsi="宋体" w:cs="宋体"/>
                      <w:bCs/>
                      <w:color w:val="auto"/>
                      <w:sz w:val="18"/>
                      <w:szCs w:val="18"/>
                    </w:rPr>
                  </w:pPr>
                  <w:r>
                    <w:rPr>
                      <w:rFonts w:hint="eastAsia" w:ascii="宋体" w:hAnsi="宋体" w:cs="宋体"/>
                      <w:bCs/>
                      <w:color w:val="auto"/>
                      <w:sz w:val="18"/>
                      <w:szCs w:val="18"/>
                    </w:rPr>
                    <w:t>可以扫描检测的过滤器在任何点的漏过率最大值≤0.01%；</w:t>
                  </w:r>
                </w:p>
                <w:p w14:paraId="1862E425">
                  <w:pPr>
                    <w:numPr>
                      <w:ilvl w:val="0"/>
                      <w:numId w:val="3"/>
                    </w:numPr>
                    <w:ind w:left="360" w:hanging="360"/>
                    <w:jc w:val="left"/>
                    <w:rPr>
                      <w:rFonts w:hint="eastAsia" w:ascii="宋体" w:hAnsi="宋体" w:cs="宋体"/>
                      <w:bCs/>
                      <w:color w:val="auto"/>
                      <w:sz w:val="18"/>
                      <w:szCs w:val="18"/>
                    </w:rPr>
                  </w:pPr>
                  <w:r>
                    <w:rPr>
                      <w:rFonts w:hint="eastAsia" w:ascii="宋体" w:hAnsi="宋体" w:cs="宋体"/>
                      <w:bCs/>
                      <w:color w:val="auto"/>
                      <w:sz w:val="18"/>
                      <w:szCs w:val="18"/>
                    </w:rPr>
                    <w:t>不可扫描检测的过滤器在任何点的漏过率最大值≤0.005%；</w:t>
                  </w:r>
                </w:p>
                <w:p w14:paraId="24D70BCD">
                  <w:pPr>
                    <w:ind w:left="1260" w:hanging="1260" w:hangingChars="700"/>
                    <w:jc w:val="left"/>
                    <w:rPr>
                      <w:rFonts w:hint="eastAsia" w:ascii="宋体" w:hAnsi="宋体" w:cs="宋体"/>
                      <w:bCs/>
                      <w:color w:val="auto"/>
                      <w:sz w:val="18"/>
                      <w:szCs w:val="18"/>
                    </w:rPr>
                  </w:pPr>
                  <w:r>
                    <w:rPr>
                      <w:rFonts w:hint="eastAsia" w:ascii="宋体" w:hAnsi="宋体" w:cs="宋体"/>
                      <w:bCs/>
                      <w:color w:val="auto"/>
                      <w:sz w:val="18"/>
                      <w:szCs w:val="18"/>
                    </w:rPr>
                    <w:t>排气高效过滤器：</w:t>
                  </w:r>
                </w:p>
                <w:p w14:paraId="68EC7F54">
                  <w:pPr>
                    <w:numPr>
                      <w:ilvl w:val="0"/>
                      <w:numId w:val="4"/>
                    </w:numPr>
                    <w:ind w:left="510" w:hanging="510"/>
                    <w:jc w:val="left"/>
                    <w:rPr>
                      <w:rFonts w:hint="eastAsia" w:ascii="宋体" w:hAnsi="宋体" w:cs="宋体"/>
                      <w:bCs/>
                      <w:color w:val="auto"/>
                      <w:sz w:val="18"/>
                      <w:szCs w:val="18"/>
                    </w:rPr>
                  </w:pPr>
                  <w:r>
                    <w:rPr>
                      <w:rFonts w:hint="eastAsia" w:ascii="宋体" w:hAnsi="宋体" w:cs="宋体"/>
                      <w:bCs/>
                      <w:color w:val="auto"/>
                      <w:sz w:val="18"/>
                      <w:szCs w:val="18"/>
                    </w:rPr>
                    <w:t>可以扫描检测的过滤器在任何点的漏过率最大值≤0.01%；</w:t>
                  </w:r>
                </w:p>
                <w:p w14:paraId="53DD9AC6">
                  <w:pPr>
                    <w:numPr>
                      <w:ilvl w:val="0"/>
                      <w:numId w:val="4"/>
                    </w:numPr>
                    <w:ind w:left="510" w:hanging="510"/>
                    <w:jc w:val="left"/>
                    <w:rPr>
                      <w:rFonts w:hint="eastAsia" w:ascii="宋体" w:hAnsi="宋体" w:cs="宋体"/>
                      <w:bCs/>
                      <w:color w:val="auto"/>
                      <w:sz w:val="18"/>
                      <w:szCs w:val="18"/>
                    </w:rPr>
                  </w:pPr>
                  <w:r>
                    <w:rPr>
                      <w:rFonts w:hint="eastAsia" w:ascii="宋体" w:hAnsi="宋体" w:cs="宋体"/>
                      <w:bCs/>
                      <w:color w:val="auto"/>
                      <w:sz w:val="18"/>
                      <w:szCs w:val="18"/>
                    </w:rPr>
                    <w:t>不可扫描检测的过滤器在任何点的漏过率最大值≤0.005%；</w:t>
                  </w:r>
                </w:p>
              </w:tc>
            </w:tr>
            <w:tr w14:paraId="0F7DA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 w:type="pct"/>
                  <w:vAlign w:val="center"/>
                </w:tcPr>
                <w:p w14:paraId="21B76180">
                  <w:pPr>
                    <w:jc w:val="center"/>
                    <w:rPr>
                      <w:rFonts w:hint="eastAsia" w:ascii="宋体" w:hAnsi="宋体"/>
                      <w:color w:val="auto"/>
                      <w:sz w:val="18"/>
                      <w:szCs w:val="18"/>
                    </w:rPr>
                  </w:pPr>
                  <w:r>
                    <w:rPr>
                      <w:rFonts w:hint="eastAsia" w:ascii="宋体" w:hAnsi="宋体"/>
                      <w:color w:val="auto"/>
                      <w:sz w:val="18"/>
                      <w:szCs w:val="18"/>
                    </w:rPr>
                    <w:t>2</w:t>
                  </w:r>
                </w:p>
              </w:tc>
              <w:tc>
                <w:tcPr>
                  <w:tcW w:w="597" w:type="pct"/>
                  <w:vAlign w:val="center"/>
                </w:tcPr>
                <w:p w14:paraId="13243874">
                  <w:pPr>
                    <w:jc w:val="left"/>
                    <w:rPr>
                      <w:rFonts w:hint="eastAsia" w:ascii="宋体" w:hAnsi="宋体"/>
                      <w:color w:val="auto"/>
                      <w:sz w:val="18"/>
                      <w:szCs w:val="18"/>
                    </w:rPr>
                  </w:pPr>
                  <w:r>
                    <w:rPr>
                      <w:rFonts w:hint="eastAsia" w:ascii="宋体" w:hAnsi="宋体"/>
                      <w:color w:val="auto"/>
                      <w:sz w:val="18"/>
                      <w:szCs w:val="18"/>
                    </w:rPr>
                    <w:t>噪声</w:t>
                  </w:r>
                </w:p>
              </w:tc>
              <w:tc>
                <w:tcPr>
                  <w:tcW w:w="929" w:type="pct"/>
                  <w:vAlign w:val="center"/>
                </w:tcPr>
                <w:p w14:paraId="6F968285">
                  <w:pPr>
                    <w:jc w:val="left"/>
                    <w:rPr>
                      <w:rFonts w:hint="eastAsia" w:ascii="宋体" w:hAnsi="宋体"/>
                      <w:color w:val="auto"/>
                      <w:sz w:val="18"/>
                      <w:szCs w:val="18"/>
                    </w:rPr>
                  </w:pPr>
                  <w:r>
                    <w:rPr>
                      <w:rFonts w:hint="eastAsia" w:ascii="宋体" w:hAnsi="宋体" w:cs="宋体"/>
                      <w:color w:val="auto"/>
                      <w:sz w:val="18"/>
                      <w:szCs w:val="18"/>
                    </w:rPr>
                    <w:t>Ⅱ级生物安全柜YY0569-2011（6.3.3）</w:t>
                  </w:r>
                </w:p>
              </w:tc>
              <w:tc>
                <w:tcPr>
                  <w:tcW w:w="2959" w:type="pct"/>
                  <w:vAlign w:val="center"/>
                </w:tcPr>
                <w:p w14:paraId="7C1A13FC">
                  <w:pPr>
                    <w:jc w:val="left"/>
                    <w:rPr>
                      <w:rFonts w:hint="eastAsia" w:ascii="宋体" w:hAnsi="宋体" w:eastAsia="宋体" w:cs="宋体"/>
                      <w:bCs/>
                      <w:color w:val="auto"/>
                      <w:sz w:val="18"/>
                      <w:szCs w:val="18"/>
                    </w:rPr>
                  </w:pPr>
                  <w:r>
                    <w:rPr>
                      <w:rFonts w:hint="eastAsia" w:ascii="宋体" w:hAnsi="宋体" w:cs="宋体"/>
                      <w:bCs/>
                      <w:color w:val="auto"/>
                      <w:sz w:val="18"/>
                      <w:szCs w:val="18"/>
                    </w:rPr>
                    <w:t>参考范围：≤67dB；</w:t>
                  </w:r>
                </w:p>
              </w:tc>
            </w:tr>
            <w:tr w14:paraId="27377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 w:type="pct"/>
                  <w:vAlign w:val="center"/>
                </w:tcPr>
                <w:p w14:paraId="63291834">
                  <w:pPr>
                    <w:jc w:val="center"/>
                    <w:rPr>
                      <w:rFonts w:hint="eastAsia" w:ascii="宋体" w:hAnsi="宋体"/>
                      <w:color w:val="auto"/>
                      <w:sz w:val="18"/>
                      <w:szCs w:val="18"/>
                    </w:rPr>
                  </w:pPr>
                  <w:r>
                    <w:rPr>
                      <w:rFonts w:hint="eastAsia" w:ascii="宋体" w:hAnsi="宋体"/>
                      <w:color w:val="auto"/>
                      <w:sz w:val="18"/>
                      <w:szCs w:val="18"/>
                    </w:rPr>
                    <w:t>3</w:t>
                  </w:r>
                </w:p>
              </w:tc>
              <w:tc>
                <w:tcPr>
                  <w:tcW w:w="597" w:type="pct"/>
                  <w:vAlign w:val="center"/>
                </w:tcPr>
                <w:p w14:paraId="3A926067">
                  <w:pPr>
                    <w:jc w:val="left"/>
                    <w:rPr>
                      <w:rFonts w:hint="eastAsia" w:ascii="宋体" w:hAnsi="宋体"/>
                      <w:color w:val="auto"/>
                      <w:sz w:val="18"/>
                      <w:szCs w:val="18"/>
                    </w:rPr>
                  </w:pPr>
                  <w:r>
                    <w:rPr>
                      <w:rFonts w:hint="eastAsia" w:ascii="宋体" w:hAnsi="宋体"/>
                      <w:color w:val="auto"/>
                      <w:sz w:val="18"/>
                      <w:szCs w:val="18"/>
                    </w:rPr>
                    <w:t>照度</w:t>
                  </w:r>
                </w:p>
              </w:tc>
              <w:tc>
                <w:tcPr>
                  <w:tcW w:w="929" w:type="pct"/>
                  <w:vAlign w:val="center"/>
                </w:tcPr>
                <w:p w14:paraId="1C891D45">
                  <w:pPr>
                    <w:jc w:val="left"/>
                    <w:rPr>
                      <w:rFonts w:hint="eastAsia" w:ascii="宋体" w:hAnsi="宋体"/>
                      <w:color w:val="auto"/>
                      <w:sz w:val="18"/>
                      <w:szCs w:val="18"/>
                    </w:rPr>
                  </w:pPr>
                  <w:r>
                    <w:rPr>
                      <w:rFonts w:hint="eastAsia" w:ascii="宋体" w:hAnsi="宋体" w:cs="宋体"/>
                      <w:color w:val="auto"/>
                      <w:sz w:val="18"/>
                      <w:szCs w:val="18"/>
                    </w:rPr>
                    <w:t>Ⅱ级生物安全柜YY0569-2011（6.3.4）</w:t>
                  </w:r>
                </w:p>
              </w:tc>
              <w:tc>
                <w:tcPr>
                  <w:tcW w:w="2959" w:type="pct"/>
                  <w:vAlign w:val="center"/>
                </w:tcPr>
                <w:p w14:paraId="5334AF57">
                  <w:pPr>
                    <w:jc w:val="left"/>
                    <w:rPr>
                      <w:rFonts w:hint="eastAsia" w:ascii="宋体" w:hAnsi="宋体" w:eastAsia="宋体" w:cs="宋体"/>
                      <w:bCs/>
                      <w:color w:val="auto"/>
                      <w:sz w:val="18"/>
                      <w:szCs w:val="18"/>
                    </w:rPr>
                  </w:pPr>
                  <w:r>
                    <w:rPr>
                      <w:rFonts w:hint="eastAsia" w:ascii="宋体" w:hAnsi="宋体" w:cs="宋体"/>
                      <w:bCs/>
                      <w:color w:val="auto"/>
                      <w:sz w:val="18"/>
                      <w:szCs w:val="18"/>
                    </w:rPr>
                    <w:t>参考范围：平均照度≥650Lx且每个照度实测值≥430Lx；</w:t>
                  </w:r>
                </w:p>
              </w:tc>
            </w:tr>
            <w:tr w14:paraId="4E259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 w:type="pct"/>
                  <w:vAlign w:val="center"/>
                </w:tcPr>
                <w:p w14:paraId="16CA7973">
                  <w:pPr>
                    <w:jc w:val="center"/>
                    <w:rPr>
                      <w:rFonts w:hint="eastAsia" w:ascii="宋体" w:hAnsi="宋体"/>
                      <w:color w:val="auto"/>
                      <w:sz w:val="18"/>
                      <w:szCs w:val="18"/>
                    </w:rPr>
                  </w:pPr>
                  <w:r>
                    <w:rPr>
                      <w:rFonts w:hint="eastAsia" w:ascii="宋体" w:hAnsi="宋体"/>
                      <w:color w:val="auto"/>
                      <w:sz w:val="18"/>
                      <w:szCs w:val="18"/>
                    </w:rPr>
                    <w:t>4</w:t>
                  </w:r>
                </w:p>
              </w:tc>
              <w:tc>
                <w:tcPr>
                  <w:tcW w:w="597" w:type="pct"/>
                  <w:vAlign w:val="center"/>
                </w:tcPr>
                <w:p w14:paraId="70A1F08A">
                  <w:pPr>
                    <w:jc w:val="left"/>
                    <w:rPr>
                      <w:rFonts w:hint="eastAsia" w:ascii="宋体" w:hAnsi="宋体"/>
                      <w:color w:val="auto"/>
                      <w:sz w:val="18"/>
                      <w:szCs w:val="18"/>
                    </w:rPr>
                  </w:pPr>
                  <w:r>
                    <w:rPr>
                      <w:rFonts w:hint="eastAsia" w:ascii="宋体" w:hAnsi="宋体"/>
                      <w:color w:val="auto"/>
                      <w:sz w:val="18"/>
                      <w:szCs w:val="18"/>
                    </w:rPr>
                    <w:t>紫外灯</w:t>
                  </w:r>
                </w:p>
              </w:tc>
              <w:tc>
                <w:tcPr>
                  <w:tcW w:w="929" w:type="pct"/>
                  <w:vAlign w:val="center"/>
                </w:tcPr>
                <w:p w14:paraId="0F95CE14">
                  <w:pPr>
                    <w:jc w:val="left"/>
                    <w:rPr>
                      <w:rFonts w:hint="eastAsia" w:ascii="宋体" w:hAnsi="宋体"/>
                      <w:color w:val="auto"/>
                      <w:sz w:val="18"/>
                      <w:szCs w:val="18"/>
                    </w:rPr>
                  </w:pPr>
                  <w:r>
                    <w:rPr>
                      <w:rFonts w:hint="eastAsia" w:ascii="宋体" w:hAnsi="宋体" w:cs="宋体"/>
                      <w:color w:val="auto"/>
                      <w:sz w:val="18"/>
                      <w:szCs w:val="18"/>
                    </w:rPr>
                    <w:t>Ⅱ级生物安全柜YY0569-2011（6.3.14）</w:t>
                  </w:r>
                </w:p>
              </w:tc>
              <w:tc>
                <w:tcPr>
                  <w:tcW w:w="2959" w:type="pct"/>
                  <w:vAlign w:val="center"/>
                </w:tcPr>
                <w:p w14:paraId="010F9722">
                  <w:pPr>
                    <w:rPr>
                      <w:rFonts w:hint="eastAsia" w:ascii="宋体" w:hAnsi="宋体" w:eastAsia="宋体" w:cs="宋体"/>
                      <w:bCs/>
                      <w:color w:val="auto"/>
                      <w:sz w:val="18"/>
                      <w:szCs w:val="18"/>
                    </w:rPr>
                  </w:pPr>
                  <w:r>
                    <w:rPr>
                      <w:rFonts w:hint="eastAsia" w:ascii="宋体" w:hAnsi="宋体" w:cs="宋体"/>
                      <w:bCs/>
                      <w:color w:val="auto"/>
                      <w:sz w:val="18"/>
                      <w:szCs w:val="18"/>
                    </w:rPr>
                    <w:t>参考范围：工作区内表面紫外辐射强度≥400mW</w:t>
                  </w:r>
                  <w:r>
                    <w:rPr>
                      <w:rFonts w:ascii="宋体" w:hAnsi="宋体" w:cs="宋体"/>
                      <w:bCs/>
                      <w:color w:val="auto"/>
                      <w:sz w:val="18"/>
                      <w:szCs w:val="18"/>
                    </w:rPr>
                    <w:t>/m</w:t>
                  </w:r>
                  <w:r>
                    <w:rPr>
                      <w:rFonts w:ascii="宋体" w:hAnsi="宋体" w:cs="宋体"/>
                      <w:bCs/>
                      <w:color w:val="auto"/>
                      <w:sz w:val="18"/>
                      <w:szCs w:val="18"/>
                      <w:vertAlign w:val="superscript"/>
                    </w:rPr>
                    <w:t>2</w:t>
                  </w:r>
                </w:p>
              </w:tc>
            </w:tr>
            <w:tr w14:paraId="0A6E0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 w:type="pct"/>
                  <w:vAlign w:val="center"/>
                </w:tcPr>
                <w:p w14:paraId="138C9B11">
                  <w:pPr>
                    <w:jc w:val="center"/>
                    <w:rPr>
                      <w:rFonts w:hint="eastAsia" w:ascii="宋体" w:hAnsi="宋体"/>
                      <w:color w:val="auto"/>
                      <w:sz w:val="18"/>
                      <w:szCs w:val="18"/>
                    </w:rPr>
                  </w:pPr>
                  <w:r>
                    <w:rPr>
                      <w:rFonts w:hint="eastAsia" w:ascii="宋体" w:hAnsi="宋体"/>
                      <w:color w:val="auto"/>
                      <w:sz w:val="18"/>
                      <w:szCs w:val="18"/>
                    </w:rPr>
                    <w:t>5</w:t>
                  </w:r>
                </w:p>
              </w:tc>
              <w:tc>
                <w:tcPr>
                  <w:tcW w:w="597" w:type="pct"/>
                  <w:vAlign w:val="center"/>
                </w:tcPr>
                <w:p w14:paraId="142589B6">
                  <w:pPr>
                    <w:jc w:val="left"/>
                    <w:rPr>
                      <w:rFonts w:hint="eastAsia" w:ascii="宋体" w:hAnsi="宋体"/>
                      <w:color w:val="auto"/>
                      <w:sz w:val="18"/>
                      <w:szCs w:val="18"/>
                    </w:rPr>
                  </w:pPr>
                  <w:r>
                    <w:rPr>
                      <w:rFonts w:hint="eastAsia" w:ascii="宋体" w:hAnsi="宋体"/>
                      <w:color w:val="auto"/>
                      <w:sz w:val="18"/>
                      <w:szCs w:val="18"/>
                    </w:rPr>
                    <w:t>下降气流</w:t>
                  </w:r>
                  <w:r>
                    <w:rPr>
                      <w:rFonts w:ascii="宋体" w:hAnsi="宋体"/>
                      <w:color w:val="auto"/>
                      <w:sz w:val="18"/>
                      <w:szCs w:val="18"/>
                    </w:rPr>
                    <w:t>流速</w:t>
                  </w:r>
                </w:p>
              </w:tc>
              <w:tc>
                <w:tcPr>
                  <w:tcW w:w="929" w:type="pct"/>
                  <w:vAlign w:val="center"/>
                </w:tcPr>
                <w:p w14:paraId="7F20B6DF">
                  <w:pPr>
                    <w:jc w:val="left"/>
                    <w:rPr>
                      <w:rFonts w:hint="eastAsia" w:ascii="宋体" w:hAnsi="宋体"/>
                      <w:color w:val="auto"/>
                      <w:sz w:val="18"/>
                      <w:szCs w:val="18"/>
                    </w:rPr>
                  </w:pPr>
                  <w:r>
                    <w:rPr>
                      <w:rFonts w:hint="eastAsia" w:ascii="宋体" w:hAnsi="宋体" w:cs="宋体"/>
                      <w:color w:val="auto"/>
                      <w:sz w:val="18"/>
                      <w:szCs w:val="18"/>
                    </w:rPr>
                    <w:t>Ⅱ级生物安全柜YY0569-2011（6.3.7）</w:t>
                  </w:r>
                </w:p>
              </w:tc>
              <w:tc>
                <w:tcPr>
                  <w:tcW w:w="2959" w:type="pct"/>
                  <w:vAlign w:val="center"/>
                </w:tcPr>
                <w:p w14:paraId="25148C37">
                  <w:pPr>
                    <w:jc w:val="left"/>
                    <w:rPr>
                      <w:rFonts w:hint="eastAsia" w:ascii="宋体" w:hAnsi="宋体" w:cs="宋体"/>
                      <w:bCs/>
                      <w:color w:val="auto"/>
                      <w:sz w:val="18"/>
                      <w:szCs w:val="18"/>
                    </w:rPr>
                  </w:pPr>
                  <w:r>
                    <w:rPr>
                      <w:rFonts w:hint="eastAsia" w:ascii="宋体" w:hAnsi="宋体" w:cs="宋体"/>
                      <w:bCs/>
                      <w:color w:val="auto"/>
                      <w:sz w:val="18"/>
                      <w:szCs w:val="18"/>
                    </w:rPr>
                    <w:t>参考范围：</w:t>
                  </w:r>
                </w:p>
                <w:p w14:paraId="2053CF8E">
                  <w:pPr>
                    <w:jc w:val="left"/>
                    <w:rPr>
                      <w:rFonts w:hint="eastAsia" w:ascii="宋体" w:hAnsi="宋体" w:cs="宋体"/>
                      <w:bCs/>
                      <w:color w:val="auto"/>
                      <w:sz w:val="18"/>
                      <w:szCs w:val="18"/>
                    </w:rPr>
                  </w:pPr>
                  <w:r>
                    <w:rPr>
                      <w:rFonts w:hint="eastAsia" w:ascii="宋体" w:hAnsi="宋体"/>
                      <w:bCs/>
                      <w:color w:val="auto"/>
                      <w:sz w:val="18"/>
                      <w:szCs w:val="18"/>
                    </w:rPr>
                    <w:t>均匀下降气流安全柜</w:t>
                  </w:r>
                  <w:r>
                    <w:rPr>
                      <w:rFonts w:hint="eastAsia" w:ascii="宋体" w:hAnsi="宋体" w:cs="宋体"/>
                      <w:bCs/>
                      <w:color w:val="auto"/>
                      <w:sz w:val="18"/>
                      <w:szCs w:val="18"/>
                    </w:rPr>
                    <w:t>检测结果：</w:t>
                  </w:r>
                </w:p>
                <w:p w14:paraId="4A4E4F8E">
                  <w:pPr>
                    <w:numPr>
                      <w:ilvl w:val="0"/>
                      <w:numId w:val="5"/>
                    </w:numPr>
                    <w:ind w:left="360" w:hanging="360"/>
                    <w:rPr>
                      <w:rFonts w:hint="eastAsia" w:ascii="宋体" w:hAnsi="宋体" w:cs="宋体"/>
                      <w:bCs/>
                      <w:color w:val="auto"/>
                      <w:sz w:val="18"/>
                      <w:szCs w:val="18"/>
                    </w:rPr>
                  </w:pPr>
                  <w:r>
                    <w:rPr>
                      <w:rFonts w:hint="eastAsia" w:ascii="宋体" w:hAnsi="宋体" w:cs="宋体"/>
                      <w:bCs/>
                      <w:color w:val="auto"/>
                      <w:sz w:val="18"/>
                      <w:szCs w:val="18"/>
                    </w:rPr>
                    <w:t>平均流速在0.25m</w:t>
                  </w:r>
                  <w:r>
                    <w:rPr>
                      <w:rFonts w:ascii="宋体" w:hAnsi="宋体" w:cs="宋体"/>
                      <w:bCs/>
                      <w:color w:val="auto"/>
                      <w:sz w:val="18"/>
                      <w:szCs w:val="18"/>
                    </w:rPr>
                    <w:t>/s</w:t>
                  </w:r>
                  <w:r>
                    <w:rPr>
                      <w:rFonts w:hint="eastAsia" w:ascii="宋体" w:hAnsi="宋体" w:cs="宋体"/>
                      <w:bCs/>
                      <w:color w:val="auto"/>
                      <w:sz w:val="18"/>
                      <w:szCs w:val="18"/>
                    </w:rPr>
                    <w:t>～</w:t>
                  </w:r>
                  <w:r>
                    <w:rPr>
                      <w:rFonts w:ascii="宋体" w:hAnsi="宋体" w:cs="宋体"/>
                      <w:bCs/>
                      <w:color w:val="auto"/>
                      <w:sz w:val="18"/>
                      <w:szCs w:val="18"/>
                    </w:rPr>
                    <w:t>0.50</w:t>
                  </w:r>
                  <w:r>
                    <w:rPr>
                      <w:rFonts w:hint="eastAsia" w:ascii="宋体" w:hAnsi="宋体" w:cs="宋体"/>
                      <w:bCs/>
                      <w:color w:val="auto"/>
                      <w:sz w:val="18"/>
                      <w:szCs w:val="18"/>
                    </w:rPr>
                    <w:t>m</w:t>
                  </w:r>
                  <w:r>
                    <w:rPr>
                      <w:rFonts w:ascii="宋体" w:hAnsi="宋体" w:cs="宋体"/>
                      <w:bCs/>
                      <w:color w:val="auto"/>
                      <w:sz w:val="18"/>
                      <w:szCs w:val="18"/>
                    </w:rPr>
                    <w:t>/s</w:t>
                  </w:r>
                  <w:r>
                    <w:rPr>
                      <w:rFonts w:hint="eastAsia" w:ascii="宋体" w:hAnsi="宋体" w:cs="宋体"/>
                      <w:bCs/>
                      <w:color w:val="auto"/>
                      <w:sz w:val="18"/>
                      <w:szCs w:val="18"/>
                    </w:rPr>
                    <w:t>之间；</w:t>
                  </w:r>
                </w:p>
                <w:p w14:paraId="394ED3AD">
                  <w:pPr>
                    <w:numPr>
                      <w:ilvl w:val="0"/>
                      <w:numId w:val="5"/>
                    </w:numPr>
                    <w:ind w:left="360" w:hanging="360"/>
                    <w:rPr>
                      <w:rFonts w:hint="eastAsia" w:ascii="宋体" w:hAnsi="宋体" w:cs="宋体"/>
                      <w:bCs/>
                      <w:color w:val="auto"/>
                      <w:sz w:val="18"/>
                      <w:szCs w:val="18"/>
                    </w:rPr>
                  </w:pPr>
                  <w:r>
                    <w:rPr>
                      <w:rFonts w:hint="eastAsia" w:ascii="宋体" w:hAnsi="宋体" w:cs="宋体"/>
                      <w:bCs/>
                      <w:color w:val="auto"/>
                      <w:sz w:val="18"/>
                      <w:szCs w:val="18"/>
                    </w:rPr>
                    <w:t>平均流速应在标称值±0.015m</w:t>
                  </w:r>
                  <w:r>
                    <w:rPr>
                      <w:rFonts w:ascii="宋体" w:hAnsi="宋体" w:cs="宋体"/>
                      <w:bCs/>
                      <w:color w:val="auto"/>
                      <w:sz w:val="18"/>
                      <w:szCs w:val="18"/>
                    </w:rPr>
                    <w:t>/s</w:t>
                  </w:r>
                  <w:r>
                    <w:rPr>
                      <w:rFonts w:hint="eastAsia" w:ascii="宋体" w:hAnsi="宋体" w:cs="宋体"/>
                      <w:bCs/>
                      <w:color w:val="auto"/>
                      <w:sz w:val="18"/>
                      <w:szCs w:val="18"/>
                    </w:rPr>
                    <w:t>之间；后续生产的安全柜平均流速应在标称值±0.025m</w:t>
                  </w:r>
                  <w:r>
                    <w:rPr>
                      <w:rFonts w:ascii="宋体" w:hAnsi="宋体" w:cs="宋体"/>
                      <w:bCs/>
                      <w:color w:val="auto"/>
                      <w:sz w:val="18"/>
                      <w:szCs w:val="18"/>
                    </w:rPr>
                    <w:t>/s</w:t>
                  </w:r>
                  <w:r>
                    <w:rPr>
                      <w:rFonts w:hint="eastAsia" w:ascii="宋体" w:hAnsi="宋体" w:cs="宋体"/>
                      <w:bCs/>
                      <w:color w:val="auto"/>
                      <w:sz w:val="18"/>
                      <w:szCs w:val="18"/>
                    </w:rPr>
                    <w:t>之间；各测量点实测值与平均流速相差均应不超过±20%或±0.08m</w:t>
                  </w:r>
                  <w:r>
                    <w:rPr>
                      <w:rFonts w:ascii="宋体" w:hAnsi="宋体" w:cs="宋体"/>
                      <w:bCs/>
                      <w:color w:val="auto"/>
                      <w:sz w:val="18"/>
                      <w:szCs w:val="18"/>
                    </w:rPr>
                    <w:t>/s</w:t>
                  </w:r>
                  <w:r>
                    <w:rPr>
                      <w:rFonts w:hint="eastAsia" w:ascii="宋体" w:hAnsi="宋体" w:cs="宋体"/>
                      <w:bCs/>
                      <w:color w:val="auto"/>
                      <w:sz w:val="18"/>
                      <w:szCs w:val="18"/>
                    </w:rPr>
                    <w:t>（取较大值）；</w:t>
                  </w:r>
                </w:p>
                <w:p w14:paraId="201B6C91">
                  <w:pPr>
                    <w:jc w:val="left"/>
                    <w:rPr>
                      <w:rFonts w:hint="eastAsia" w:ascii="宋体" w:hAnsi="宋体" w:cs="宋体"/>
                      <w:bCs/>
                      <w:color w:val="auto"/>
                      <w:sz w:val="18"/>
                      <w:szCs w:val="18"/>
                    </w:rPr>
                  </w:pPr>
                  <w:r>
                    <w:rPr>
                      <w:rFonts w:hint="eastAsia" w:ascii="宋体" w:hAnsi="宋体" w:cs="宋体"/>
                      <w:bCs/>
                      <w:color w:val="auto"/>
                      <w:sz w:val="18"/>
                      <w:szCs w:val="18"/>
                    </w:rPr>
                    <w:t>非</w:t>
                  </w:r>
                  <w:r>
                    <w:rPr>
                      <w:rFonts w:hint="eastAsia" w:ascii="宋体" w:hAnsi="宋体"/>
                      <w:bCs/>
                      <w:color w:val="auto"/>
                      <w:sz w:val="18"/>
                      <w:szCs w:val="18"/>
                    </w:rPr>
                    <w:t>均匀下降气流安全柜</w:t>
                  </w:r>
                  <w:r>
                    <w:rPr>
                      <w:rFonts w:hint="eastAsia" w:ascii="宋体" w:hAnsi="宋体" w:cs="宋体"/>
                      <w:bCs/>
                      <w:color w:val="auto"/>
                      <w:sz w:val="18"/>
                      <w:szCs w:val="18"/>
                    </w:rPr>
                    <w:t>检测结果：</w:t>
                  </w:r>
                </w:p>
                <w:p w14:paraId="5720AC8C">
                  <w:pPr>
                    <w:numPr>
                      <w:ilvl w:val="0"/>
                      <w:numId w:val="6"/>
                    </w:numPr>
                    <w:ind w:left="840" w:hanging="420"/>
                    <w:jc w:val="left"/>
                    <w:rPr>
                      <w:rFonts w:hint="eastAsia" w:ascii="宋体" w:hAnsi="宋体" w:cs="宋体"/>
                      <w:bCs/>
                      <w:color w:val="auto"/>
                      <w:sz w:val="18"/>
                      <w:szCs w:val="18"/>
                    </w:rPr>
                  </w:pPr>
                  <w:r>
                    <w:rPr>
                      <w:rFonts w:hint="eastAsia" w:ascii="宋体" w:hAnsi="宋体" w:cs="宋体"/>
                      <w:bCs/>
                      <w:color w:val="auto"/>
                      <w:sz w:val="18"/>
                      <w:szCs w:val="18"/>
                    </w:rPr>
                    <w:t>各区域平均流速在0.25m</w:t>
                  </w:r>
                  <w:r>
                    <w:rPr>
                      <w:rFonts w:ascii="宋体" w:hAnsi="宋体" w:cs="宋体"/>
                      <w:bCs/>
                      <w:color w:val="auto"/>
                      <w:sz w:val="18"/>
                      <w:szCs w:val="18"/>
                    </w:rPr>
                    <w:t>/s</w:t>
                  </w:r>
                  <w:r>
                    <w:rPr>
                      <w:rFonts w:hint="eastAsia" w:ascii="宋体" w:hAnsi="宋体" w:cs="宋体"/>
                      <w:bCs/>
                      <w:color w:val="auto"/>
                      <w:sz w:val="18"/>
                      <w:szCs w:val="18"/>
                    </w:rPr>
                    <w:t>～</w:t>
                  </w:r>
                  <w:r>
                    <w:rPr>
                      <w:rFonts w:ascii="宋体" w:hAnsi="宋体" w:cs="宋体"/>
                      <w:bCs/>
                      <w:color w:val="auto"/>
                      <w:sz w:val="18"/>
                      <w:szCs w:val="18"/>
                    </w:rPr>
                    <w:t>0.50</w:t>
                  </w:r>
                  <w:r>
                    <w:rPr>
                      <w:rFonts w:hint="eastAsia" w:ascii="宋体" w:hAnsi="宋体" w:cs="宋体"/>
                      <w:bCs/>
                      <w:color w:val="auto"/>
                      <w:sz w:val="18"/>
                      <w:szCs w:val="18"/>
                    </w:rPr>
                    <w:t>m</w:t>
                  </w:r>
                  <w:r>
                    <w:rPr>
                      <w:rFonts w:ascii="宋体" w:hAnsi="宋体" w:cs="宋体"/>
                      <w:bCs/>
                      <w:color w:val="auto"/>
                      <w:sz w:val="18"/>
                      <w:szCs w:val="18"/>
                    </w:rPr>
                    <w:t>/s</w:t>
                  </w:r>
                  <w:r>
                    <w:rPr>
                      <w:rFonts w:hint="eastAsia" w:ascii="宋体" w:hAnsi="宋体" w:cs="宋体"/>
                      <w:bCs/>
                      <w:color w:val="auto"/>
                      <w:sz w:val="18"/>
                      <w:szCs w:val="18"/>
                    </w:rPr>
                    <w:t>之间；</w:t>
                  </w:r>
                </w:p>
                <w:p w14:paraId="1B8867B4">
                  <w:pPr>
                    <w:numPr>
                      <w:ilvl w:val="0"/>
                      <w:numId w:val="6"/>
                    </w:numPr>
                    <w:ind w:left="840" w:hanging="420"/>
                    <w:jc w:val="left"/>
                    <w:rPr>
                      <w:rFonts w:hint="eastAsia" w:ascii="宋体" w:hAnsi="宋体" w:cs="宋体"/>
                      <w:bCs/>
                      <w:color w:val="auto"/>
                      <w:sz w:val="18"/>
                      <w:szCs w:val="18"/>
                    </w:rPr>
                  </w:pPr>
                  <w:r>
                    <w:rPr>
                      <w:rFonts w:hint="eastAsia" w:ascii="宋体" w:hAnsi="宋体" w:cs="宋体"/>
                      <w:bCs/>
                      <w:color w:val="auto"/>
                      <w:sz w:val="18"/>
                      <w:szCs w:val="18"/>
                    </w:rPr>
                    <w:t>各区域平均流速应在标称值±0.015m</w:t>
                  </w:r>
                  <w:r>
                    <w:rPr>
                      <w:rFonts w:ascii="宋体" w:hAnsi="宋体" w:cs="宋体"/>
                      <w:bCs/>
                      <w:color w:val="auto"/>
                      <w:sz w:val="18"/>
                      <w:szCs w:val="18"/>
                    </w:rPr>
                    <w:t>/s</w:t>
                  </w:r>
                  <w:r>
                    <w:rPr>
                      <w:rFonts w:hint="eastAsia" w:ascii="宋体" w:hAnsi="宋体" w:cs="宋体"/>
                      <w:bCs/>
                      <w:color w:val="auto"/>
                      <w:sz w:val="18"/>
                      <w:szCs w:val="18"/>
                    </w:rPr>
                    <w:t>之间；后续生产的安全柜平均流速应在标称值±0.025m</w:t>
                  </w:r>
                  <w:r>
                    <w:rPr>
                      <w:rFonts w:ascii="宋体" w:hAnsi="宋体" w:cs="宋体"/>
                      <w:bCs/>
                      <w:color w:val="auto"/>
                      <w:sz w:val="18"/>
                      <w:szCs w:val="18"/>
                    </w:rPr>
                    <w:t>/s</w:t>
                  </w:r>
                  <w:r>
                    <w:rPr>
                      <w:rFonts w:hint="eastAsia" w:ascii="宋体" w:hAnsi="宋体" w:cs="宋体"/>
                      <w:bCs/>
                      <w:color w:val="auto"/>
                      <w:sz w:val="18"/>
                      <w:szCs w:val="18"/>
                    </w:rPr>
                    <w:t>之间；</w:t>
                  </w:r>
                </w:p>
                <w:p w14:paraId="5AFF2CFF">
                  <w:pPr>
                    <w:numPr>
                      <w:ilvl w:val="0"/>
                      <w:numId w:val="6"/>
                    </w:numPr>
                    <w:ind w:left="840" w:hanging="420"/>
                    <w:jc w:val="left"/>
                    <w:rPr>
                      <w:rFonts w:hint="eastAsia" w:ascii="宋体" w:hAnsi="宋体" w:cs="宋体"/>
                      <w:bCs/>
                      <w:color w:val="auto"/>
                      <w:sz w:val="18"/>
                      <w:szCs w:val="18"/>
                    </w:rPr>
                  </w:pPr>
                  <w:r>
                    <w:rPr>
                      <w:rFonts w:hint="eastAsia" w:ascii="宋体" w:hAnsi="宋体" w:cs="宋体"/>
                      <w:bCs/>
                      <w:color w:val="auto"/>
                      <w:sz w:val="18"/>
                      <w:szCs w:val="18"/>
                    </w:rPr>
                    <w:t>各测量点实测值与平均流速相差均应不超过±20%或±0.08m</w:t>
                  </w:r>
                  <w:r>
                    <w:rPr>
                      <w:rFonts w:ascii="宋体" w:hAnsi="宋体" w:cs="宋体"/>
                      <w:bCs/>
                      <w:color w:val="auto"/>
                      <w:sz w:val="18"/>
                      <w:szCs w:val="18"/>
                    </w:rPr>
                    <w:t>/s</w:t>
                  </w:r>
                  <w:r>
                    <w:rPr>
                      <w:rFonts w:hint="eastAsia" w:ascii="宋体" w:hAnsi="宋体" w:cs="宋体"/>
                      <w:bCs/>
                      <w:color w:val="auto"/>
                      <w:sz w:val="18"/>
                      <w:szCs w:val="18"/>
                    </w:rPr>
                    <w:t>（取较大值）；</w:t>
                  </w:r>
                </w:p>
              </w:tc>
            </w:tr>
            <w:tr w14:paraId="6E020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 w:type="pct"/>
                  <w:vAlign w:val="center"/>
                </w:tcPr>
                <w:p w14:paraId="3AEFD559">
                  <w:pPr>
                    <w:jc w:val="center"/>
                    <w:rPr>
                      <w:rFonts w:hint="eastAsia" w:ascii="宋体" w:hAnsi="宋体"/>
                      <w:color w:val="auto"/>
                      <w:sz w:val="18"/>
                      <w:szCs w:val="18"/>
                    </w:rPr>
                  </w:pPr>
                  <w:r>
                    <w:rPr>
                      <w:rFonts w:hint="eastAsia" w:ascii="宋体" w:hAnsi="宋体"/>
                      <w:color w:val="auto"/>
                      <w:sz w:val="18"/>
                      <w:szCs w:val="18"/>
                    </w:rPr>
                    <w:t>6</w:t>
                  </w:r>
                </w:p>
              </w:tc>
              <w:tc>
                <w:tcPr>
                  <w:tcW w:w="597" w:type="pct"/>
                  <w:vAlign w:val="center"/>
                </w:tcPr>
                <w:p w14:paraId="1DD87C1E">
                  <w:pPr>
                    <w:jc w:val="left"/>
                    <w:rPr>
                      <w:rFonts w:hint="eastAsia" w:ascii="宋体" w:hAnsi="宋体"/>
                      <w:color w:val="auto"/>
                      <w:sz w:val="18"/>
                      <w:szCs w:val="18"/>
                    </w:rPr>
                  </w:pPr>
                  <w:r>
                    <w:rPr>
                      <w:rFonts w:hint="eastAsia" w:ascii="宋体" w:hAnsi="宋体"/>
                      <w:color w:val="auto"/>
                      <w:sz w:val="18"/>
                      <w:szCs w:val="18"/>
                    </w:rPr>
                    <w:t>流入</w:t>
                  </w:r>
                  <w:r>
                    <w:rPr>
                      <w:rFonts w:ascii="宋体" w:hAnsi="宋体"/>
                      <w:color w:val="auto"/>
                      <w:sz w:val="18"/>
                      <w:szCs w:val="18"/>
                    </w:rPr>
                    <w:t>气流流速</w:t>
                  </w:r>
                </w:p>
              </w:tc>
              <w:tc>
                <w:tcPr>
                  <w:tcW w:w="929" w:type="pct"/>
                  <w:vAlign w:val="center"/>
                </w:tcPr>
                <w:p w14:paraId="151E5B00">
                  <w:pPr>
                    <w:jc w:val="left"/>
                    <w:rPr>
                      <w:rFonts w:hint="eastAsia" w:ascii="宋体" w:hAnsi="宋体"/>
                      <w:color w:val="auto"/>
                      <w:sz w:val="18"/>
                      <w:szCs w:val="18"/>
                    </w:rPr>
                  </w:pPr>
                  <w:r>
                    <w:rPr>
                      <w:rFonts w:hint="eastAsia" w:ascii="宋体" w:hAnsi="宋体" w:cs="宋体"/>
                      <w:color w:val="auto"/>
                      <w:sz w:val="18"/>
                      <w:szCs w:val="18"/>
                    </w:rPr>
                    <w:t>Ⅱ级生物安全柜YY0569-2011（6.3.8）</w:t>
                  </w:r>
                </w:p>
              </w:tc>
              <w:tc>
                <w:tcPr>
                  <w:tcW w:w="2959" w:type="pct"/>
                  <w:vAlign w:val="center"/>
                </w:tcPr>
                <w:p w14:paraId="4895C925">
                  <w:pPr>
                    <w:jc w:val="left"/>
                    <w:rPr>
                      <w:rFonts w:hint="eastAsia" w:ascii="宋体" w:hAnsi="宋体" w:cs="宋体"/>
                      <w:bCs/>
                      <w:color w:val="auto"/>
                      <w:sz w:val="18"/>
                      <w:szCs w:val="18"/>
                    </w:rPr>
                  </w:pPr>
                  <w:r>
                    <w:rPr>
                      <w:rFonts w:hint="eastAsia" w:ascii="宋体" w:hAnsi="宋体" w:cs="宋体"/>
                      <w:bCs/>
                      <w:color w:val="auto"/>
                      <w:sz w:val="18"/>
                      <w:szCs w:val="18"/>
                    </w:rPr>
                    <w:t>参考范围：</w:t>
                  </w:r>
                </w:p>
                <w:p w14:paraId="3552687C">
                  <w:pPr>
                    <w:numPr>
                      <w:ilvl w:val="0"/>
                      <w:numId w:val="7"/>
                    </w:numPr>
                    <w:ind w:left="480" w:hanging="480"/>
                    <w:jc w:val="left"/>
                    <w:rPr>
                      <w:rFonts w:hint="eastAsia" w:ascii="宋体" w:hAnsi="宋体" w:cs="宋体"/>
                      <w:bCs/>
                      <w:color w:val="auto"/>
                      <w:sz w:val="18"/>
                      <w:szCs w:val="18"/>
                    </w:rPr>
                  </w:pPr>
                  <w:r>
                    <w:rPr>
                      <w:rFonts w:hint="eastAsia" w:ascii="宋体" w:hAnsi="宋体" w:cs="宋体"/>
                      <w:bCs/>
                      <w:color w:val="auto"/>
                      <w:sz w:val="18"/>
                      <w:szCs w:val="18"/>
                    </w:rPr>
                    <w:t>平均流速应在标称值±0.015m</w:t>
                  </w:r>
                  <w:r>
                    <w:rPr>
                      <w:rFonts w:ascii="宋体" w:hAnsi="宋体" w:cs="宋体"/>
                      <w:bCs/>
                      <w:color w:val="auto"/>
                      <w:sz w:val="18"/>
                      <w:szCs w:val="18"/>
                    </w:rPr>
                    <w:t>/s</w:t>
                  </w:r>
                  <w:r>
                    <w:rPr>
                      <w:rFonts w:hint="eastAsia" w:ascii="宋体" w:hAnsi="宋体" w:cs="宋体"/>
                      <w:bCs/>
                      <w:color w:val="auto"/>
                      <w:sz w:val="18"/>
                      <w:szCs w:val="18"/>
                    </w:rPr>
                    <w:t>之间；后续生产的安全柜平均流速应在标称值±0.025m</w:t>
                  </w:r>
                  <w:r>
                    <w:rPr>
                      <w:rFonts w:ascii="宋体" w:hAnsi="宋体" w:cs="宋体"/>
                      <w:bCs/>
                      <w:color w:val="auto"/>
                      <w:sz w:val="18"/>
                      <w:szCs w:val="18"/>
                    </w:rPr>
                    <w:t>/s</w:t>
                  </w:r>
                  <w:r>
                    <w:rPr>
                      <w:rFonts w:hint="eastAsia" w:ascii="宋体" w:hAnsi="宋体" w:cs="宋体"/>
                      <w:bCs/>
                      <w:color w:val="auto"/>
                      <w:sz w:val="18"/>
                      <w:szCs w:val="18"/>
                    </w:rPr>
                    <w:t>之间；</w:t>
                  </w:r>
                </w:p>
                <w:p w14:paraId="357F20EF">
                  <w:pPr>
                    <w:numPr>
                      <w:ilvl w:val="0"/>
                      <w:numId w:val="7"/>
                    </w:numPr>
                    <w:ind w:left="480" w:hanging="480"/>
                    <w:jc w:val="left"/>
                    <w:rPr>
                      <w:rFonts w:hint="eastAsia" w:ascii="宋体" w:hAnsi="宋体" w:cs="宋体"/>
                      <w:bCs/>
                      <w:color w:val="auto"/>
                      <w:sz w:val="18"/>
                      <w:szCs w:val="18"/>
                    </w:rPr>
                  </w:pPr>
                  <w:r>
                    <w:rPr>
                      <w:rFonts w:hint="eastAsia" w:ascii="宋体" w:hAnsi="宋体" w:cs="宋体"/>
                      <w:bCs/>
                      <w:color w:val="auto"/>
                      <w:sz w:val="18"/>
                      <w:szCs w:val="18"/>
                    </w:rPr>
                    <w:t>Ⅱ级A1型安全柜平均流速≥0.40m</w:t>
                  </w:r>
                  <w:r>
                    <w:rPr>
                      <w:rFonts w:ascii="宋体" w:hAnsi="宋体" w:cs="宋体"/>
                      <w:bCs/>
                      <w:color w:val="auto"/>
                      <w:sz w:val="18"/>
                      <w:szCs w:val="18"/>
                    </w:rPr>
                    <w:t>/s</w:t>
                  </w:r>
                  <w:r>
                    <w:rPr>
                      <w:rFonts w:hint="eastAsia" w:ascii="宋体" w:hAnsi="宋体" w:cs="宋体"/>
                      <w:bCs/>
                      <w:color w:val="auto"/>
                      <w:sz w:val="18"/>
                      <w:szCs w:val="18"/>
                    </w:rPr>
                    <w:t>；前窗操作口流入气流工作区每米宽度的流量≥0.07m</w:t>
                  </w:r>
                  <w:r>
                    <w:rPr>
                      <w:rFonts w:ascii="宋体" w:hAnsi="宋体" w:cs="宋体"/>
                      <w:bCs/>
                      <w:color w:val="auto"/>
                      <w:sz w:val="18"/>
                      <w:szCs w:val="18"/>
                    </w:rPr>
                    <w:t>/s</w:t>
                  </w:r>
                  <w:r>
                    <w:rPr>
                      <w:rFonts w:hint="eastAsia" w:ascii="宋体" w:hAnsi="宋体" w:cs="宋体"/>
                      <w:bCs/>
                      <w:color w:val="auto"/>
                      <w:sz w:val="18"/>
                      <w:szCs w:val="18"/>
                    </w:rPr>
                    <w:t>；</w:t>
                  </w:r>
                </w:p>
                <w:p w14:paraId="691F3A07">
                  <w:pPr>
                    <w:numPr>
                      <w:ilvl w:val="0"/>
                      <w:numId w:val="7"/>
                    </w:numPr>
                    <w:ind w:left="480" w:hanging="480"/>
                    <w:jc w:val="left"/>
                    <w:rPr>
                      <w:rFonts w:hint="eastAsia" w:ascii="宋体" w:hAnsi="宋体" w:cs="宋体"/>
                      <w:bCs/>
                      <w:color w:val="auto"/>
                      <w:sz w:val="18"/>
                      <w:szCs w:val="18"/>
                    </w:rPr>
                  </w:pPr>
                  <w:r>
                    <w:rPr>
                      <w:rFonts w:hint="eastAsia" w:ascii="宋体" w:hAnsi="宋体" w:cs="宋体"/>
                      <w:bCs/>
                      <w:color w:val="auto"/>
                      <w:sz w:val="18"/>
                      <w:szCs w:val="18"/>
                    </w:rPr>
                    <w:t>Ⅱ级A2、B1、B2型安全柜平均流速≥0.50m</w:t>
                  </w:r>
                  <w:r>
                    <w:rPr>
                      <w:rFonts w:ascii="宋体" w:hAnsi="宋体" w:cs="宋体"/>
                      <w:bCs/>
                      <w:color w:val="auto"/>
                      <w:sz w:val="18"/>
                      <w:szCs w:val="18"/>
                    </w:rPr>
                    <w:t>/s</w:t>
                  </w:r>
                  <w:r>
                    <w:rPr>
                      <w:rFonts w:hint="eastAsia" w:ascii="宋体" w:hAnsi="宋体" w:cs="宋体"/>
                      <w:bCs/>
                      <w:color w:val="auto"/>
                      <w:sz w:val="18"/>
                      <w:szCs w:val="18"/>
                    </w:rPr>
                    <w:t>；前窗操作口流入气流工作区每米宽度的流量≥0.1m</w:t>
                  </w:r>
                  <w:r>
                    <w:rPr>
                      <w:rFonts w:ascii="宋体" w:hAnsi="宋体" w:cs="宋体"/>
                      <w:bCs/>
                      <w:color w:val="auto"/>
                      <w:sz w:val="18"/>
                      <w:szCs w:val="18"/>
                    </w:rPr>
                    <w:t>/s</w:t>
                  </w:r>
                  <w:r>
                    <w:rPr>
                      <w:rFonts w:hint="eastAsia" w:ascii="宋体" w:hAnsi="宋体" w:cs="宋体"/>
                      <w:bCs/>
                      <w:color w:val="auto"/>
                      <w:sz w:val="18"/>
                      <w:szCs w:val="18"/>
                    </w:rPr>
                    <w:t>。</w:t>
                  </w:r>
                </w:p>
              </w:tc>
            </w:tr>
            <w:tr w14:paraId="669D4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 w:type="pct"/>
                  <w:vAlign w:val="center"/>
                </w:tcPr>
                <w:p w14:paraId="5F4BDA9F">
                  <w:pPr>
                    <w:jc w:val="center"/>
                    <w:rPr>
                      <w:rFonts w:hint="eastAsia" w:ascii="宋体" w:hAnsi="宋体"/>
                      <w:color w:val="auto"/>
                      <w:sz w:val="18"/>
                      <w:szCs w:val="18"/>
                    </w:rPr>
                  </w:pPr>
                  <w:r>
                    <w:rPr>
                      <w:rFonts w:hint="eastAsia" w:ascii="宋体" w:hAnsi="宋体"/>
                      <w:color w:val="auto"/>
                      <w:sz w:val="18"/>
                      <w:szCs w:val="18"/>
                    </w:rPr>
                    <w:t>7</w:t>
                  </w:r>
                </w:p>
              </w:tc>
              <w:tc>
                <w:tcPr>
                  <w:tcW w:w="597" w:type="pct"/>
                  <w:vAlign w:val="center"/>
                </w:tcPr>
                <w:p w14:paraId="7C0EF3FA">
                  <w:pPr>
                    <w:jc w:val="left"/>
                    <w:rPr>
                      <w:rFonts w:hint="eastAsia" w:ascii="宋体" w:hAnsi="宋体"/>
                      <w:color w:val="auto"/>
                      <w:sz w:val="18"/>
                      <w:szCs w:val="18"/>
                    </w:rPr>
                  </w:pPr>
                  <w:r>
                    <w:rPr>
                      <w:rFonts w:hint="eastAsia" w:ascii="宋体" w:hAnsi="宋体"/>
                      <w:color w:val="auto"/>
                      <w:sz w:val="18"/>
                      <w:szCs w:val="18"/>
                    </w:rPr>
                    <w:t>气流</w:t>
                  </w:r>
                  <w:r>
                    <w:rPr>
                      <w:rFonts w:ascii="宋体" w:hAnsi="宋体"/>
                      <w:color w:val="auto"/>
                      <w:sz w:val="18"/>
                      <w:szCs w:val="18"/>
                    </w:rPr>
                    <w:t>烟雾模式</w:t>
                  </w:r>
                </w:p>
              </w:tc>
              <w:tc>
                <w:tcPr>
                  <w:tcW w:w="929" w:type="pct"/>
                  <w:vAlign w:val="center"/>
                </w:tcPr>
                <w:p w14:paraId="64B2C570">
                  <w:pPr>
                    <w:jc w:val="left"/>
                    <w:rPr>
                      <w:rFonts w:hint="eastAsia" w:ascii="宋体" w:hAnsi="宋体"/>
                      <w:color w:val="auto"/>
                      <w:sz w:val="18"/>
                      <w:szCs w:val="18"/>
                    </w:rPr>
                  </w:pPr>
                  <w:r>
                    <w:rPr>
                      <w:rFonts w:hint="eastAsia" w:ascii="宋体" w:hAnsi="宋体" w:cs="宋体"/>
                      <w:color w:val="auto"/>
                      <w:sz w:val="18"/>
                      <w:szCs w:val="18"/>
                    </w:rPr>
                    <w:t>Ⅱ级生物安全柜YY0569-2011（6.3.9）</w:t>
                  </w:r>
                </w:p>
              </w:tc>
              <w:tc>
                <w:tcPr>
                  <w:tcW w:w="2959" w:type="pct"/>
                  <w:vAlign w:val="center"/>
                </w:tcPr>
                <w:p w14:paraId="394D5133">
                  <w:pPr>
                    <w:jc w:val="left"/>
                    <w:rPr>
                      <w:rFonts w:hint="eastAsia" w:ascii="宋体" w:hAnsi="宋体" w:cs="宋体"/>
                      <w:bCs/>
                      <w:color w:val="auto"/>
                      <w:sz w:val="18"/>
                      <w:szCs w:val="18"/>
                    </w:rPr>
                  </w:pPr>
                  <w:r>
                    <w:rPr>
                      <w:rFonts w:hint="eastAsia" w:ascii="宋体" w:hAnsi="宋体" w:cs="宋体"/>
                      <w:bCs/>
                      <w:color w:val="auto"/>
                      <w:sz w:val="18"/>
                      <w:szCs w:val="18"/>
                    </w:rPr>
                    <w:t>参考范围：</w:t>
                  </w:r>
                </w:p>
                <w:p w14:paraId="6630E080">
                  <w:pPr>
                    <w:numPr>
                      <w:ilvl w:val="0"/>
                      <w:numId w:val="8"/>
                    </w:numPr>
                    <w:ind w:left="360" w:hanging="360"/>
                    <w:jc w:val="left"/>
                    <w:rPr>
                      <w:rFonts w:hint="eastAsia" w:ascii="宋体" w:hAnsi="宋体" w:cs="宋体"/>
                      <w:bCs/>
                      <w:color w:val="auto"/>
                      <w:sz w:val="18"/>
                      <w:szCs w:val="18"/>
                    </w:rPr>
                  </w:pPr>
                  <w:r>
                    <w:rPr>
                      <w:rFonts w:hint="eastAsia" w:ascii="宋体" w:hAnsi="宋体" w:cs="宋体"/>
                      <w:bCs/>
                      <w:color w:val="auto"/>
                      <w:sz w:val="18"/>
                      <w:szCs w:val="18"/>
                    </w:rPr>
                    <w:t>符合：下降气流测试：烟雾沿着工作台面的中心线，在前窗操作口顶端以上100mm的高度，从安全柜的一端到另一端，检验的气流应向下，应不产生漩涡和向上气流，且无死点；</w:t>
                  </w:r>
                </w:p>
                <w:p w14:paraId="7C217992">
                  <w:pPr>
                    <w:numPr>
                      <w:ilvl w:val="0"/>
                      <w:numId w:val="8"/>
                    </w:numPr>
                    <w:ind w:left="360" w:hanging="360"/>
                    <w:jc w:val="left"/>
                    <w:rPr>
                      <w:rFonts w:hint="eastAsia" w:ascii="宋体" w:hAnsi="宋体" w:cs="宋体"/>
                      <w:bCs/>
                      <w:color w:val="auto"/>
                      <w:sz w:val="18"/>
                      <w:szCs w:val="18"/>
                    </w:rPr>
                  </w:pPr>
                  <w:r>
                    <w:rPr>
                      <w:rFonts w:hint="eastAsia" w:ascii="宋体" w:hAnsi="宋体" w:cs="宋体"/>
                      <w:bCs/>
                      <w:color w:val="auto"/>
                      <w:sz w:val="18"/>
                      <w:szCs w:val="18"/>
                    </w:rPr>
                    <w:t>符合：观察窗气流测试：烟在观察屏后25mm、前窗操作口顶端以上150mm高度从安全柜的一端到另一端，检验的气流应向下，应不产生漩涡和向上气流，且无死点，气流不从安全柜中逸出；</w:t>
                  </w:r>
                </w:p>
                <w:p w14:paraId="2B41C589">
                  <w:pPr>
                    <w:numPr>
                      <w:ilvl w:val="0"/>
                      <w:numId w:val="8"/>
                    </w:numPr>
                    <w:ind w:left="360" w:hanging="360"/>
                    <w:jc w:val="left"/>
                    <w:rPr>
                      <w:rFonts w:hint="eastAsia" w:ascii="宋体" w:hAnsi="宋体" w:cs="宋体"/>
                      <w:bCs/>
                      <w:color w:val="auto"/>
                      <w:sz w:val="18"/>
                      <w:szCs w:val="18"/>
                    </w:rPr>
                  </w:pPr>
                  <w:r>
                    <w:rPr>
                      <w:rFonts w:hint="eastAsia" w:ascii="宋体" w:hAnsi="宋体" w:cs="宋体"/>
                      <w:bCs/>
                      <w:color w:val="auto"/>
                      <w:sz w:val="18"/>
                      <w:szCs w:val="18"/>
                    </w:rPr>
                    <w:t>符合：前窗操作口边缘气流测试：烟在安全柜外大约38mm处沿着整个前窗操作口的周边经过，特别注意角落和垂直边缘，前窗操作口整个周边气流应向内，无无向外逸出的气流。安全柜的前窗操作口流入气流应不进入工作区；</w:t>
                  </w:r>
                </w:p>
                <w:p w14:paraId="1543D70A">
                  <w:pPr>
                    <w:numPr>
                      <w:ilvl w:val="0"/>
                      <w:numId w:val="8"/>
                    </w:numPr>
                    <w:ind w:left="360" w:hanging="360"/>
                    <w:jc w:val="left"/>
                    <w:rPr>
                      <w:rFonts w:hint="eastAsia" w:ascii="宋体" w:hAnsi="宋体" w:cs="宋体"/>
                      <w:bCs/>
                      <w:color w:val="auto"/>
                      <w:sz w:val="18"/>
                      <w:szCs w:val="18"/>
                    </w:rPr>
                  </w:pPr>
                  <w:r>
                    <w:rPr>
                      <w:rFonts w:hint="eastAsia" w:ascii="宋体" w:hAnsi="宋体" w:cs="宋体"/>
                      <w:bCs/>
                      <w:color w:val="auto"/>
                      <w:sz w:val="18"/>
                      <w:szCs w:val="18"/>
                    </w:rPr>
                    <w:t>符合：滑动窗密闭性测试：烟在滑动窗内距安全柜侧壁和工作区顶部50mm经过，气流应不从安全柜中逸出；</w:t>
                  </w:r>
                </w:p>
              </w:tc>
            </w:tr>
          </w:tbl>
          <w:p w14:paraId="3B76FD98">
            <w:pPr>
              <w:spacing w:line="560" w:lineRule="exact"/>
              <w:jc w:val="left"/>
              <w:rPr>
                <w:rFonts w:hint="eastAsia" w:ascii="宋体" w:hAnsi="宋体" w:eastAsia="宋体"/>
                <w:color w:val="auto"/>
                <w:sz w:val="24"/>
                <w:szCs w:val="24"/>
              </w:rPr>
            </w:pPr>
            <w:r>
              <w:rPr>
                <w:rFonts w:hint="eastAsia" w:ascii="宋体" w:hAnsi="宋体" w:eastAsia="宋体"/>
                <w:color w:val="auto"/>
                <w:sz w:val="24"/>
                <w:szCs w:val="24"/>
              </w:rPr>
              <w:t xml:space="preserve"> (</w:t>
            </w:r>
            <w:r>
              <w:rPr>
                <w:rFonts w:ascii="宋体" w:hAnsi="宋体" w:eastAsia="宋体"/>
                <w:color w:val="auto"/>
                <w:sz w:val="24"/>
                <w:szCs w:val="24"/>
              </w:rPr>
              <w:t>二)项目服务质量</w:t>
            </w:r>
            <w:r>
              <w:rPr>
                <w:rFonts w:hint="eastAsia" w:ascii="宋体" w:hAnsi="宋体" w:eastAsia="宋体"/>
                <w:color w:val="auto"/>
                <w:sz w:val="24"/>
                <w:szCs w:val="24"/>
              </w:rPr>
              <w:t>、</w:t>
            </w:r>
            <w:r>
              <w:rPr>
                <w:rFonts w:ascii="宋体" w:hAnsi="宋体" w:eastAsia="宋体"/>
                <w:color w:val="auto"/>
                <w:sz w:val="24"/>
                <w:szCs w:val="24"/>
              </w:rPr>
              <w:t>数量</w:t>
            </w:r>
          </w:p>
          <w:p w14:paraId="5EEB8E07">
            <w:pPr>
              <w:pStyle w:val="2"/>
              <w:rPr>
                <w:rFonts w:hint="eastAsia" w:ascii="宋体" w:hAnsi="宋体" w:eastAsia="宋体"/>
                <w:b w:val="0"/>
                <w:bCs w:val="0"/>
                <w:color w:val="auto"/>
                <w:szCs w:val="24"/>
              </w:rPr>
            </w:pPr>
            <w:r>
              <w:rPr>
                <w:rFonts w:ascii="宋体" w:hAnsi="宋体" w:eastAsia="宋体"/>
                <w:b w:val="0"/>
                <w:bCs w:val="0"/>
                <w:color w:val="auto"/>
                <w:szCs w:val="24"/>
              </w:rPr>
              <w:t>服务质量</w:t>
            </w:r>
            <w:r>
              <w:rPr>
                <w:rFonts w:hint="eastAsia" w:ascii="宋体" w:hAnsi="宋体" w:eastAsia="宋体"/>
                <w:b w:val="0"/>
                <w:bCs w:val="0"/>
                <w:color w:val="auto"/>
                <w:szCs w:val="24"/>
              </w:rPr>
              <w:t>：检测方具有广东省市场监督管理局签发的《检验检测机构资质认定证书》，许可使用CMA标志，《资质认定计量认证证书附表》里有相对应的检测项目，检测项目符合《Ⅱ级生物安全柜YY0569-2011》和各级相关部门的要求</w:t>
            </w:r>
          </w:p>
          <w:p w14:paraId="0DB48C45">
            <w:pPr>
              <w:pStyle w:val="2"/>
              <w:rPr>
                <w:rFonts w:hint="eastAsia" w:ascii="宋体" w:hAnsi="宋体" w:eastAsia="宋体"/>
                <w:b w:val="0"/>
                <w:bCs w:val="0"/>
                <w:color w:val="auto"/>
                <w:szCs w:val="24"/>
              </w:rPr>
            </w:pPr>
            <w:r>
              <w:rPr>
                <w:rFonts w:hint="eastAsia" w:ascii="宋体" w:hAnsi="宋体" w:eastAsia="宋体"/>
                <w:b w:val="0"/>
                <w:bCs w:val="0"/>
                <w:color w:val="auto"/>
                <w:szCs w:val="24"/>
              </w:rPr>
              <w:t>服务数量：</w:t>
            </w:r>
            <w:r>
              <w:rPr>
                <w:rFonts w:ascii="宋体" w:hAnsi="宋体" w:eastAsia="宋体"/>
                <w:b w:val="0"/>
                <w:bCs w:val="0"/>
                <w:color w:val="auto"/>
                <w:szCs w:val="24"/>
              </w:rPr>
              <w:t>1</w:t>
            </w:r>
            <w:r>
              <w:rPr>
                <w:rFonts w:hint="eastAsia" w:ascii="宋体" w:hAnsi="宋体" w:eastAsia="宋体"/>
                <w:b w:val="0"/>
                <w:bCs w:val="0"/>
                <w:color w:val="auto"/>
                <w:szCs w:val="24"/>
              </w:rPr>
              <w:t>7台。</w:t>
            </w:r>
          </w:p>
          <w:p w14:paraId="6275F1DB">
            <w:pPr>
              <w:pStyle w:val="4"/>
              <w:spacing w:before="0" w:after="0"/>
              <w:rPr>
                <w:rFonts w:hint="eastAsia"/>
                <w:color w:val="auto"/>
              </w:rPr>
            </w:pPr>
          </w:p>
        </w:tc>
      </w:tr>
      <w:tr w14:paraId="7C414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391" w:type="dxa"/>
            <w:tcBorders>
              <w:top w:val="single" w:color="auto" w:sz="4" w:space="0"/>
              <w:left w:val="single" w:color="auto" w:sz="4" w:space="0"/>
              <w:bottom w:val="single" w:color="auto" w:sz="4" w:space="0"/>
              <w:right w:val="single" w:color="auto" w:sz="4" w:space="0"/>
            </w:tcBorders>
            <w:vAlign w:val="center"/>
          </w:tcPr>
          <w:p w14:paraId="73D8A47F">
            <w:pPr>
              <w:spacing w:line="276" w:lineRule="auto"/>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商务需求</w:t>
            </w:r>
          </w:p>
        </w:tc>
        <w:tc>
          <w:tcPr>
            <w:tcW w:w="8729" w:type="dxa"/>
            <w:gridSpan w:val="4"/>
            <w:tcBorders>
              <w:top w:val="single" w:color="auto" w:sz="4" w:space="0"/>
              <w:left w:val="single" w:color="auto" w:sz="4" w:space="0"/>
              <w:bottom w:val="single" w:color="auto" w:sz="4" w:space="0"/>
              <w:right w:val="single" w:color="auto" w:sz="4" w:space="0"/>
            </w:tcBorders>
          </w:tcPr>
          <w:p w14:paraId="7A167BF8">
            <w:pPr>
              <w:numPr>
                <w:ilvl w:val="0"/>
                <w:numId w:val="9"/>
              </w:numPr>
              <w:spacing w:line="276" w:lineRule="auto"/>
              <w:rPr>
                <w:color w:val="auto"/>
              </w:rPr>
            </w:pPr>
            <w:r>
              <w:rPr>
                <w:rFonts w:hint="eastAsia" w:ascii="宋体" w:hAnsi="宋体" w:eastAsia="宋体" w:cs="宋体"/>
                <w:b/>
                <w:color w:val="auto"/>
                <w:kern w:val="0"/>
                <w:szCs w:val="21"/>
              </w:rPr>
              <w:t>商务需求：</w:t>
            </w:r>
          </w:p>
          <w:p w14:paraId="4B9ECE6E">
            <w:pPr>
              <w:pStyle w:val="2"/>
              <w:numPr>
                <w:ilvl w:val="0"/>
                <w:numId w:val="10"/>
              </w:numPr>
              <w:rPr>
                <w:rFonts w:hint="eastAsia" w:cs="宋体" w:asciiTheme="minorEastAsia" w:hAnsiTheme="minorEastAsia"/>
                <w:b w:val="0"/>
                <w:bCs w:val="0"/>
                <w:color w:val="auto"/>
                <w:kern w:val="0"/>
                <w:sz w:val="21"/>
                <w:szCs w:val="21"/>
              </w:rPr>
            </w:pPr>
            <w:r>
              <w:rPr>
                <w:rFonts w:hint="eastAsia" w:cs="宋体" w:asciiTheme="minorEastAsia" w:hAnsiTheme="minorEastAsia"/>
                <w:b w:val="0"/>
                <w:bCs w:val="0"/>
                <w:color w:val="auto"/>
                <w:kern w:val="0"/>
                <w:sz w:val="21"/>
                <w:szCs w:val="21"/>
              </w:rPr>
              <w:t>服务期限：合同</w:t>
            </w:r>
            <w:r>
              <w:rPr>
                <w:rFonts w:cs="宋体" w:asciiTheme="minorEastAsia" w:hAnsiTheme="minorEastAsia"/>
                <w:b w:val="0"/>
                <w:bCs w:val="0"/>
                <w:color w:val="auto"/>
                <w:kern w:val="0"/>
                <w:sz w:val="21"/>
                <w:szCs w:val="21"/>
              </w:rPr>
              <w:t>签订之日</w:t>
            </w:r>
            <w:r>
              <w:rPr>
                <w:rFonts w:hint="eastAsia" w:cs="宋体" w:asciiTheme="minorEastAsia" w:hAnsiTheme="minorEastAsia"/>
                <w:b w:val="0"/>
                <w:bCs w:val="0"/>
                <w:color w:val="auto"/>
                <w:kern w:val="0"/>
                <w:sz w:val="21"/>
                <w:szCs w:val="21"/>
              </w:rPr>
              <w:t>起12个月。合同签订</w:t>
            </w:r>
            <w:r>
              <w:rPr>
                <w:rFonts w:cs="宋体" w:asciiTheme="minorEastAsia" w:hAnsiTheme="minorEastAsia"/>
                <w:b w:val="0"/>
                <w:bCs w:val="0"/>
                <w:color w:val="auto"/>
                <w:kern w:val="0"/>
                <w:sz w:val="21"/>
                <w:szCs w:val="21"/>
              </w:rPr>
              <w:t>7</w:t>
            </w:r>
            <w:r>
              <w:rPr>
                <w:rFonts w:hint="eastAsia" w:cs="宋体" w:asciiTheme="minorEastAsia" w:hAnsiTheme="minorEastAsia"/>
                <w:b w:val="0"/>
                <w:bCs w:val="0"/>
                <w:color w:val="auto"/>
                <w:kern w:val="0"/>
                <w:sz w:val="21"/>
                <w:szCs w:val="21"/>
              </w:rPr>
              <w:t>天内人员到位及完成项目。</w:t>
            </w:r>
            <w:r>
              <w:rPr>
                <w:rFonts w:cs="宋体" w:asciiTheme="minorEastAsia" w:hAnsiTheme="minorEastAsia"/>
                <w:b w:val="0"/>
                <w:bCs w:val="0"/>
                <w:color w:val="auto"/>
                <w:kern w:val="0"/>
                <w:sz w:val="21"/>
                <w:szCs w:val="21"/>
              </w:rPr>
              <w:t>服务期1年，合同期满后，采购人根据实际情况及考核情况自主决定是否续签合同，采购人有权不续签。续签合同一年一签，但本项目合同期不超过三年。</w:t>
            </w:r>
          </w:p>
          <w:p w14:paraId="26623D2F">
            <w:pPr>
              <w:pStyle w:val="2"/>
              <w:numPr>
                <w:ilvl w:val="0"/>
                <w:numId w:val="10"/>
              </w:numPr>
              <w:rPr>
                <w:rFonts w:hint="eastAsia" w:cs="宋体" w:asciiTheme="minorEastAsia" w:hAnsiTheme="minorEastAsia"/>
                <w:b w:val="0"/>
                <w:bCs w:val="0"/>
                <w:color w:val="auto"/>
                <w:kern w:val="0"/>
                <w:sz w:val="21"/>
                <w:szCs w:val="21"/>
              </w:rPr>
            </w:pPr>
            <w:r>
              <w:rPr>
                <w:rFonts w:cs="宋体" w:asciiTheme="minorEastAsia" w:hAnsiTheme="minorEastAsia"/>
                <w:b w:val="0"/>
                <w:color w:val="auto"/>
                <w:kern w:val="0"/>
                <w:sz w:val="21"/>
                <w:szCs w:val="21"/>
              </w:rPr>
              <w:t>服务要求</w:t>
            </w:r>
            <w:r>
              <w:rPr>
                <w:rFonts w:hint="eastAsia" w:cs="宋体" w:asciiTheme="minorEastAsia" w:hAnsiTheme="minorEastAsia"/>
                <w:b w:val="0"/>
                <w:color w:val="auto"/>
                <w:kern w:val="0"/>
                <w:sz w:val="21"/>
                <w:szCs w:val="21"/>
              </w:rPr>
              <w:t>：</w:t>
            </w:r>
          </w:p>
          <w:p w14:paraId="21D20B25">
            <w:pPr>
              <w:pStyle w:val="2"/>
              <w:rPr>
                <w:rFonts w:hint="eastAsia" w:cs="宋体" w:asciiTheme="minorEastAsia" w:hAnsiTheme="minorEastAsia"/>
                <w:b w:val="0"/>
                <w:bCs w:val="0"/>
                <w:color w:val="auto"/>
                <w:kern w:val="0"/>
                <w:sz w:val="21"/>
                <w:szCs w:val="21"/>
              </w:rPr>
            </w:pPr>
            <w:r>
              <w:rPr>
                <w:rFonts w:hint="eastAsia" w:cs="宋体" w:asciiTheme="minorEastAsia" w:hAnsiTheme="minorEastAsia"/>
                <w:b w:val="0"/>
                <w:color w:val="auto"/>
                <w:kern w:val="0"/>
                <w:sz w:val="21"/>
                <w:szCs w:val="21"/>
              </w:rPr>
              <w:t>2</w:t>
            </w:r>
            <w:r>
              <w:rPr>
                <w:rFonts w:cs="宋体" w:asciiTheme="minorEastAsia" w:hAnsiTheme="minorEastAsia"/>
                <w:b w:val="0"/>
                <w:color w:val="auto"/>
                <w:kern w:val="0"/>
                <w:sz w:val="21"/>
                <w:szCs w:val="21"/>
              </w:rPr>
              <w:t>.1</w:t>
            </w:r>
            <w:r>
              <w:rPr>
                <w:rFonts w:hint="eastAsia" w:cs="宋体" w:asciiTheme="minorEastAsia" w:hAnsiTheme="minorEastAsia"/>
                <w:b w:val="0"/>
                <w:color w:val="auto"/>
                <w:kern w:val="0"/>
                <w:sz w:val="21"/>
                <w:szCs w:val="21"/>
              </w:rPr>
              <w:t>接到性能验证服务需求后厂家工程师应4</w:t>
            </w:r>
            <w:r>
              <w:rPr>
                <w:rFonts w:cs="宋体" w:asciiTheme="minorEastAsia" w:hAnsiTheme="minorEastAsia"/>
                <w:b w:val="0"/>
                <w:color w:val="auto"/>
                <w:kern w:val="0"/>
                <w:sz w:val="21"/>
                <w:szCs w:val="21"/>
              </w:rPr>
              <w:t>小时</w:t>
            </w:r>
            <w:r>
              <w:rPr>
                <w:rFonts w:hint="eastAsia" w:cs="宋体" w:asciiTheme="minorEastAsia" w:hAnsiTheme="minorEastAsia"/>
                <w:b w:val="0"/>
                <w:color w:val="auto"/>
                <w:kern w:val="0"/>
                <w:sz w:val="21"/>
                <w:szCs w:val="21"/>
              </w:rPr>
              <w:t>内</w:t>
            </w:r>
            <w:r>
              <w:rPr>
                <w:rFonts w:cs="宋体" w:asciiTheme="minorEastAsia" w:hAnsiTheme="minorEastAsia"/>
                <w:b w:val="0"/>
                <w:color w:val="auto"/>
                <w:kern w:val="0"/>
                <w:sz w:val="21"/>
                <w:szCs w:val="21"/>
              </w:rPr>
              <w:t>到达现场</w:t>
            </w:r>
            <w:r>
              <w:rPr>
                <w:rFonts w:hint="eastAsia" w:cs="宋体" w:asciiTheme="minorEastAsia" w:hAnsiTheme="minorEastAsia"/>
                <w:b w:val="0"/>
                <w:color w:val="auto"/>
                <w:kern w:val="0"/>
                <w:sz w:val="21"/>
                <w:szCs w:val="21"/>
              </w:rPr>
              <w:t>。</w:t>
            </w:r>
          </w:p>
          <w:p w14:paraId="12024078">
            <w:pPr>
              <w:spacing w:line="360" w:lineRule="auto"/>
              <w:rPr>
                <w:rFonts w:hint="eastAsia" w:cs="宋体" w:asciiTheme="minorEastAsia" w:hAnsiTheme="minorEastAsia"/>
                <w:color w:val="auto"/>
                <w:kern w:val="0"/>
                <w:szCs w:val="21"/>
              </w:rPr>
            </w:pPr>
            <w:r>
              <w:rPr>
                <w:rFonts w:cs="宋体" w:asciiTheme="minorEastAsia" w:hAnsiTheme="minorEastAsia"/>
                <w:color w:val="auto"/>
                <w:kern w:val="0"/>
                <w:szCs w:val="21"/>
              </w:rPr>
              <w:t>2.2</w:t>
            </w:r>
            <w:r>
              <w:rPr>
                <w:rFonts w:hint="eastAsia" w:cs="宋体" w:asciiTheme="minorEastAsia" w:hAnsiTheme="minorEastAsia"/>
                <w:color w:val="auto"/>
                <w:kern w:val="0"/>
                <w:szCs w:val="21"/>
              </w:rPr>
              <w:t>由于生物安全柜购买时间不同或因故障维修，部分生物安全柜性能验证时间不一致，原则上尽量同一批次进行年度性能验证，特殊情况下科室按照每台性能验证时间的差异，按需联系厂家工程师上门年度检测。</w:t>
            </w:r>
          </w:p>
          <w:p w14:paraId="7B6FEDA4">
            <w:pPr>
              <w:spacing w:line="360" w:lineRule="auto"/>
              <w:rPr>
                <w:rFonts w:hint="eastAsia" w:cs="宋体" w:asciiTheme="minorEastAsia" w:hAnsiTheme="minorEastAsia"/>
                <w:color w:val="auto"/>
                <w:kern w:val="0"/>
                <w:szCs w:val="21"/>
              </w:rPr>
            </w:pPr>
            <w:r>
              <w:rPr>
                <w:rFonts w:cs="宋体" w:asciiTheme="minorEastAsia" w:hAnsiTheme="minorEastAsia"/>
                <w:color w:val="auto"/>
                <w:kern w:val="0"/>
                <w:szCs w:val="21"/>
              </w:rPr>
              <w:t>2.3</w:t>
            </w:r>
            <w:r>
              <w:rPr>
                <w:rFonts w:hint="eastAsia" w:cs="宋体" w:asciiTheme="minorEastAsia" w:hAnsiTheme="minorEastAsia"/>
                <w:color w:val="auto"/>
                <w:kern w:val="0"/>
                <w:szCs w:val="21"/>
              </w:rPr>
              <w:t>年度性能验证服务有效期起始时间以签订合同的当日起算。</w:t>
            </w:r>
          </w:p>
          <w:p w14:paraId="0FFCB9AC">
            <w:pPr>
              <w:spacing w:line="560" w:lineRule="exact"/>
              <w:rPr>
                <w:rFonts w:hint="eastAsia" w:cs="宋体" w:asciiTheme="minorEastAsia" w:hAnsiTheme="minorEastAsia"/>
                <w:color w:val="auto"/>
                <w:kern w:val="0"/>
                <w:szCs w:val="21"/>
              </w:rPr>
            </w:pPr>
            <w:r>
              <w:rPr>
                <w:rFonts w:cs="宋体" w:asciiTheme="minorEastAsia" w:hAnsiTheme="minorEastAsia"/>
                <w:color w:val="auto"/>
                <w:kern w:val="0"/>
                <w:szCs w:val="21"/>
              </w:rPr>
              <w:t>2.4</w:t>
            </w:r>
            <w:r>
              <w:rPr>
                <w:rFonts w:hint="eastAsia" w:cs="宋体" w:asciiTheme="minorEastAsia" w:hAnsiTheme="minorEastAsia"/>
                <w:color w:val="auto"/>
                <w:kern w:val="0"/>
                <w:szCs w:val="21"/>
              </w:rPr>
              <w:t>服务期内，中标人若中途无故自行停止服务，造成医院法律风险、</w:t>
            </w:r>
            <w:r>
              <w:rPr>
                <w:rFonts w:cs="宋体" w:asciiTheme="minorEastAsia" w:hAnsiTheme="minorEastAsia"/>
                <w:color w:val="auto"/>
                <w:kern w:val="0"/>
                <w:szCs w:val="21"/>
              </w:rPr>
              <w:t>经济损失的，由中标人予以赔偿</w:t>
            </w:r>
            <w:r>
              <w:rPr>
                <w:rFonts w:hint="eastAsia" w:cs="宋体" w:asciiTheme="minorEastAsia" w:hAnsiTheme="minorEastAsia"/>
                <w:color w:val="auto"/>
                <w:kern w:val="0"/>
                <w:szCs w:val="21"/>
              </w:rPr>
              <w:t>。</w:t>
            </w:r>
          </w:p>
          <w:p w14:paraId="6D6BB028">
            <w:pPr>
              <w:spacing w:line="560" w:lineRule="exact"/>
              <w:rPr>
                <w:rFonts w:hint="eastAsia" w:cs="宋体" w:asciiTheme="minorEastAsia" w:hAnsiTheme="minorEastAsia"/>
                <w:color w:val="auto"/>
                <w:kern w:val="0"/>
                <w:szCs w:val="21"/>
              </w:rPr>
            </w:pPr>
            <w:r>
              <w:rPr>
                <w:rFonts w:cs="宋体" w:asciiTheme="minorEastAsia" w:hAnsiTheme="minorEastAsia"/>
                <w:color w:val="auto"/>
                <w:kern w:val="0"/>
                <w:szCs w:val="21"/>
              </w:rPr>
              <w:t>3</w:t>
            </w:r>
            <w:r>
              <w:rPr>
                <w:rFonts w:hint="eastAsia" w:cs="宋体" w:asciiTheme="minorEastAsia" w:hAnsiTheme="minorEastAsia"/>
                <w:color w:val="auto"/>
                <w:kern w:val="0"/>
                <w:szCs w:val="21"/>
              </w:rPr>
              <w:t>、报价：</w:t>
            </w:r>
          </w:p>
          <w:p w14:paraId="5751E2F8">
            <w:pPr>
              <w:spacing w:line="560" w:lineRule="exact"/>
              <w:rPr>
                <w:rFonts w:hint="eastAsia" w:cs="宋体" w:asciiTheme="minorEastAsia" w:hAnsiTheme="minorEastAsia"/>
                <w:color w:val="auto"/>
                <w:kern w:val="0"/>
                <w:szCs w:val="21"/>
              </w:rPr>
            </w:pPr>
            <w:r>
              <w:rPr>
                <w:rFonts w:hint="eastAsia" w:cs="宋体" w:asciiTheme="minorEastAsia" w:hAnsiTheme="minorEastAsia"/>
                <w:color w:val="auto"/>
                <w:kern w:val="0"/>
                <w:szCs w:val="21"/>
              </w:rPr>
              <w:t>（1）本项目预算控制金额为人民币23800</w:t>
            </w:r>
            <w:r>
              <w:rPr>
                <w:rFonts w:cs="宋体" w:asciiTheme="minorEastAsia" w:hAnsiTheme="minorEastAsia"/>
                <w:color w:val="auto"/>
                <w:kern w:val="0"/>
                <w:szCs w:val="21"/>
              </w:rPr>
              <w:t>元</w:t>
            </w:r>
            <w:r>
              <w:rPr>
                <w:rFonts w:hint="eastAsia" w:cs="宋体" w:asciiTheme="minorEastAsia" w:hAnsiTheme="minorEastAsia"/>
                <w:color w:val="auto"/>
                <w:kern w:val="0"/>
                <w:szCs w:val="21"/>
              </w:rPr>
              <w:t>，投标人的投标总价超过预算金额为无效投标；</w:t>
            </w:r>
          </w:p>
          <w:p w14:paraId="7B7D286B">
            <w:pPr>
              <w:spacing w:line="560" w:lineRule="exact"/>
              <w:rPr>
                <w:rFonts w:hint="eastAsia" w:cs="宋体" w:asciiTheme="minorEastAsia" w:hAnsiTheme="minorEastAsia"/>
                <w:color w:val="auto"/>
                <w:kern w:val="0"/>
                <w:szCs w:val="21"/>
              </w:rPr>
            </w:pPr>
            <w:r>
              <w:rPr>
                <w:rFonts w:hint="eastAsia" w:cs="宋体" w:asciiTheme="minorEastAsia" w:hAnsiTheme="minorEastAsia"/>
                <w:color w:val="auto"/>
                <w:kern w:val="0"/>
                <w:szCs w:val="21"/>
              </w:rPr>
              <w:t>（2）报价包含完成项目所需的一切费用，项目结算时不做任何单价或费用的调整。</w:t>
            </w:r>
          </w:p>
          <w:p w14:paraId="0B849965">
            <w:pPr>
              <w:spacing w:line="276" w:lineRule="auto"/>
              <w:rPr>
                <w:rFonts w:hint="eastAsia" w:ascii="宋体" w:hAnsi="宋体" w:eastAsia="宋体" w:cs="Times New Roman"/>
                <w:b/>
                <w:color w:val="auto"/>
              </w:rPr>
            </w:pPr>
            <w:r>
              <w:rPr>
                <w:rFonts w:hint="eastAsia" w:ascii="宋体" w:hAnsi="宋体" w:eastAsia="宋体" w:cs="Times New Roman"/>
                <w:b/>
                <w:color w:val="auto"/>
              </w:rPr>
              <w:t>★投标报价要求：</w:t>
            </w:r>
          </w:p>
          <w:p w14:paraId="78FD695E">
            <w:pPr>
              <w:spacing w:line="276" w:lineRule="auto"/>
              <w:rPr>
                <w:rFonts w:hint="eastAsia" w:ascii="宋体" w:hAnsi="宋体" w:eastAsia="宋体" w:cs="Times New Roman"/>
                <w:color w:val="auto"/>
                <w:szCs w:val="21"/>
              </w:rPr>
            </w:pPr>
            <w:r>
              <w:rPr>
                <w:rFonts w:hint="eastAsia" w:ascii="宋体" w:hAnsi="宋体" w:eastAsia="宋体" w:cs="Times New Roman"/>
                <w:color w:val="auto"/>
                <w:szCs w:val="21"/>
              </w:rPr>
              <w:t>（1）供应商应根据本企业的成本自行决定报价，但不得以低于其企业成本的报价投标，各供应商在报价时，应充分考虑投标报价的风险。</w:t>
            </w:r>
          </w:p>
          <w:p w14:paraId="2CC02566">
            <w:pPr>
              <w:spacing w:line="276" w:lineRule="auto"/>
              <w:rPr>
                <w:rFonts w:hint="eastAsia" w:ascii="宋体" w:hAnsi="宋体" w:eastAsia="宋体" w:cs="Times New Roman"/>
                <w:color w:val="auto"/>
                <w:szCs w:val="21"/>
              </w:rPr>
            </w:pPr>
            <w:r>
              <w:rPr>
                <w:rFonts w:hint="eastAsia" w:ascii="宋体" w:hAnsi="宋体" w:eastAsia="宋体" w:cs="Times New Roman"/>
                <w:color w:val="auto"/>
                <w:szCs w:val="21"/>
              </w:rPr>
              <w:t>（2）供应商的投标报价，应是本项目需求范围上所列的各项内容中所述的全部，以供应商在提出的综合单价或总价为依据，供应商不得期望通过索赔等方式获取补偿，</w:t>
            </w:r>
          </w:p>
          <w:p w14:paraId="62678368">
            <w:pPr>
              <w:adjustRightInd w:val="0"/>
              <w:spacing w:line="360" w:lineRule="auto"/>
              <w:textAlignment w:val="baseline"/>
              <w:rPr>
                <w:rFonts w:hint="eastAsia" w:ascii="宋体" w:hAnsi="宋体" w:eastAsia="宋体" w:cs="宋体"/>
                <w:color w:val="auto"/>
                <w:kern w:val="0"/>
                <w:szCs w:val="21"/>
              </w:rPr>
            </w:pPr>
            <w:r>
              <w:rPr>
                <w:rFonts w:hint="eastAsia" w:ascii="宋体" w:hAnsi="宋体" w:eastAsia="宋体" w:cs="宋体"/>
                <w:color w:val="auto"/>
                <w:kern w:val="0"/>
                <w:szCs w:val="21"/>
              </w:rPr>
              <w:t>（3）</w:t>
            </w:r>
            <w:r>
              <w:rPr>
                <w:rFonts w:hint="eastAsia" w:ascii="宋体" w:hAnsi="宋体" w:eastAsia="宋体" w:cs="宋体"/>
                <w:color w:val="auto"/>
                <w:szCs w:val="21"/>
              </w:rPr>
              <w:t>供应商</w:t>
            </w:r>
            <w:r>
              <w:rPr>
                <w:rFonts w:hint="eastAsia" w:ascii="宋体" w:hAnsi="宋体" w:eastAsia="宋体" w:cs="宋体"/>
                <w:color w:val="auto"/>
                <w:kern w:val="0"/>
                <w:szCs w:val="21"/>
              </w:rPr>
              <w:t>的报价不得超过最高限价。</w:t>
            </w:r>
          </w:p>
          <w:p w14:paraId="38292651">
            <w:pPr>
              <w:pStyle w:val="2"/>
              <w:rPr>
                <w:rFonts w:hint="eastAsia" w:ascii="宋体" w:hAnsi="宋体" w:eastAsia="宋体"/>
                <w:b w:val="0"/>
                <w:color w:val="auto"/>
                <w:szCs w:val="24"/>
              </w:rPr>
            </w:pPr>
            <w:r>
              <w:rPr>
                <w:b w:val="0"/>
                <w:color w:val="auto"/>
              </w:rPr>
              <w:t>4</w:t>
            </w:r>
            <w:r>
              <w:rPr>
                <w:rFonts w:hint="eastAsia"/>
                <w:b w:val="0"/>
                <w:color w:val="auto"/>
              </w:rPr>
              <w:t>、验收标准：</w:t>
            </w:r>
            <w:r>
              <w:rPr>
                <w:rFonts w:hint="eastAsia" w:ascii="宋体" w:hAnsi="宋体" w:eastAsia="宋体"/>
                <w:b w:val="0"/>
                <w:color w:val="auto"/>
                <w:szCs w:val="24"/>
              </w:rPr>
              <w:t>及时</w:t>
            </w:r>
            <w:r>
              <w:rPr>
                <w:rFonts w:ascii="宋体" w:hAnsi="宋体" w:eastAsia="宋体"/>
                <w:b w:val="0"/>
                <w:color w:val="auto"/>
                <w:szCs w:val="24"/>
              </w:rPr>
              <w:t>响应科室需求，按</w:t>
            </w:r>
            <w:r>
              <w:rPr>
                <w:rFonts w:hint="eastAsia" w:ascii="宋体" w:hAnsi="宋体" w:eastAsia="宋体"/>
                <w:b w:val="0"/>
                <w:color w:val="auto"/>
                <w:szCs w:val="24"/>
              </w:rPr>
              <w:t>YY0569-2011要求，</w:t>
            </w:r>
            <w:r>
              <w:rPr>
                <w:rFonts w:ascii="宋体" w:hAnsi="宋体" w:eastAsia="宋体"/>
                <w:b w:val="0"/>
                <w:color w:val="auto"/>
                <w:szCs w:val="24"/>
              </w:rPr>
              <w:t>及时准确检测</w:t>
            </w:r>
            <w:r>
              <w:rPr>
                <w:rFonts w:hint="eastAsia" w:ascii="宋体" w:hAnsi="宋体" w:eastAsia="宋体"/>
                <w:b w:val="0"/>
                <w:color w:val="auto"/>
                <w:szCs w:val="24"/>
              </w:rPr>
              <w:t>科室</w:t>
            </w:r>
            <w:r>
              <w:rPr>
                <w:rFonts w:ascii="宋体" w:hAnsi="宋体" w:eastAsia="宋体"/>
                <w:b w:val="0"/>
                <w:color w:val="auto"/>
                <w:szCs w:val="24"/>
              </w:rPr>
              <w:t>设备</w:t>
            </w:r>
            <w:r>
              <w:rPr>
                <w:rFonts w:hint="eastAsia" w:ascii="宋体" w:hAnsi="宋体" w:eastAsia="宋体"/>
                <w:b w:val="0"/>
                <w:color w:val="auto"/>
                <w:szCs w:val="24"/>
              </w:rPr>
              <w:t>，</w:t>
            </w:r>
            <w:r>
              <w:rPr>
                <w:rFonts w:ascii="宋体" w:hAnsi="宋体" w:eastAsia="宋体"/>
                <w:b w:val="0"/>
                <w:color w:val="auto"/>
                <w:szCs w:val="24"/>
              </w:rPr>
              <w:t>出具检测报告。</w:t>
            </w:r>
          </w:p>
          <w:p w14:paraId="1DAFBCBB">
            <w:pPr>
              <w:spacing w:line="276" w:lineRule="auto"/>
              <w:rPr>
                <w:rFonts w:hint="eastAsia" w:ascii="宋体" w:hAnsi="宋体" w:eastAsia="宋体" w:cs="Times New Roman"/>
                <w:b/>
                <w:color w:val="auto"/>
              </w:rPr>
            </w:pPr>
            <w:r>
              <w:rPr>
                <w:rFonts w:ascii="宋体" w:hAnsi="宋体" w:eastAsia="宋体" w:cs="Times New Roman"/>
                <w:b/>
                <w:color w:val="auto"/>
              </w:rPr>
              <w:t>四</w:t>
            </w:r>
            <w:r>
              <w:rPr>
                <w:rFonts w:hint="eastAsia" w:ascii="宋体" w:hAnsi="宋体" w:eastAsia="宋体" w:cs="Times New Roman"/>
                <w:b/>
                <w:color w:val="auto"/>
              </w:rPr>
              <w:t>、付款方式：</w:t>
            </w:r>
          </w:p>
          <w:p w14:paraId="79E81A76">
            <w:pPr>
              <w:ind w:firstLine="420" w:firstLineChars="200"/>
              <w:jc w:val="left"/>
              <w:rPr>
                <w:rFonts w:hint="eastAsia" w:asciiTheme="minorEastAsia" w:hAnsiTheme="minorEastAsia"/>
                <w:color w:val="auto"/>
                <w:szCs w:val="21"/>
              </w:rPr>
            </w:pPr>
            <w:r>
              <w:rPr>
                <w:rFonts w:hint="eastAsia" w:asciiTheme="minorEastAsia" w:hAnsiTheme="minorEastAsia"/>
                <w:color w:val="auto"/>
                <w:szCs w:val="21"/>
              </w:rPr>
              <w:t>（1）按合同价进行支付。</w:t>
            </w:r>
          </w:p>
          <w:p w14:paraId="584C1A7A">
            <w:pPr>
              <w:ind w:firstLine="420" w:firstLineChars="200"/>
              <w:jc w:val="left"/>
              <w:rPr>
                <w:rFonts w:hint="eastAsia" w:asciiTheme="minorEastAsia" w:hAnsiTheme="minorEastAsia"/>
                <w:color w:val="auto"/>
                <w:szCs w:val="21"/>
              </w:rPr>
            </w:pPr>
            <w:r>
              <w:rPr>
                <w:rFonts w:hint="eastAsia" w:asciiTheme="minorEastAsia" w:hAnsiTheme="minorEastAsia"/>
                <w:color w:val="auto"/>
                <w:szCs w:val="21"/>
              </w:rPr>
              <w:t>（2）检测服务完成，出具相应的检测校准报告，且供应商开具合格发票后10个工作日内支付合同总价100%。</w:t>
            </w:r>
          </w:p>
          <w:p w14:paraId="7AA08CAA">
            <w:pPr>
              <w:spacing w:line="276" w:lineRule="auto"/>
              <w:rPr>
                <w:rFonts w:hint="eastAsia" w:ascii="宋体" w:hAnsi="宋体" w:eastAsia="宋体" w:cs="宋体"/>
                <w:color w:val="auto"/>
                <w:kern w:val="0"/>
                <w:szCs w:val="21"/>
              </w:rPr>
            </w:pPr>
          </w:p>
        </w:tc>
      </w:tr>
    </w:tbl>
    <w:p w14:paraId="2B86A9D6">
      <w:pPr>
        <w:pStyle w:val="5"/>
        <w:ind w:right="2246"/>
        <w:rPr>
          <w:color w:val="auto"/>
          <w:w w:val="95"/>
        </w:rPr>
      </w:pPr>
    </w:p>
    <w:p w14:paraId="3BBCE6AD">
      <w:pPr>
        <w:pStyle w:val="5"/>
        <w:ind w:right="2246"/>
        <w:rPr>
          <w:color w:val="auto"/>
          <w:w w:val="95"/>
        </w:rPr>
      </w:pPr>
    </w:p>
    <w:p w14:paraId="13C77357">
      <w:pPr>
        <w:pStyle w:val="5"/>
        <w:ind w:right="2246"/>
        <w:rPr>
          <w:color w:val="auto"/>
          <w:w w:val="95"/>
        </w:rPr>
      </w:pPr>
    </w:p>
    <w:p w14:paraId="6F60C925">
      <w:pPr>
        <w:pStyle w:val="5"/>
        <w:spacing w:before="0" w:after="0" w:line="240" w:lineRule="auto"/>
        <w:rPr>
          <w:color w:val="auto"/>
          <w:w w:val="95"/>
        </w:rPr>
      </w:pPr>
      <w:r>
        <w:rPr>
          <w:rFonts w:hint="eastAsia"/>
          <w:color w:val="auto"/>
          <w:w w:val="95"/>
        </w:rPr>
        <w:t>以下由供应商提供：</w:t>
      </w:r>
    </w:p>
    <w:p w14:paraId="6F1193F0">
      <w:pPr>
        <w:pStyle w:val="5"/>
        <w:ind w:right="2246"/>
        <w:jc w:val="center"/>
        <w:rPr>
          <w:color w:val="auto"/>
          <w:sz w:val="32"/>
          <w:szCs w:val="32"/>
        </w:rPr>
      </w:pPr>
      <w:r>
        <w:rPr>
          <w:rFonts w:hint="eastAsia"/>
          <w:color w:val="auto"/>
          <w:w w:val="95"/>
          <w:sz w:val="32"/>
          <w:szCs w:val="32"/>
        </w:rPr>
        <w:t xml:space="preserve">        一、</w:t>
      </w:r>
      <w:r>
        <w:rPr>
          <w:color w:val="auto"/>
          <w:w w:val="95"/>
          <w:sz w:val="32"/>
          <w:szCs w:val="32"/>
        </w:rPr>
        <w:t>报</w:t>
      </w:r>
      <w:r>
        <w:rPr>
          <w:rFonts w:hint="eastAsia"/>
          <w:color w:val="auto"/>
          <w:w w:val="95"/>
          <w:sz w:val="32"/>
          <w:szCs w:val="32"/>
        </w:rPr>
        <w:t xml:space="preserve"> </w:t>
      </w:r>
      <w:r>
        <w:rPr>
          <w:color w:val="auto"/>
          <w:w w:val="95"/>
          <w:sz w:val="32"/>
          <w:szCs w:val="32"/>
        </w:rPr>
        <w:t>价</w:t>
      </w:r>
      <w:r>
        <w:rPr>
          <w:rFonts w:hint="eastAsia"/>
          <w:color w:val="auto"/>
          <w:w w:val="95"/>
          <w:sz w:val="32"/>
          <w:szCs w:val="32"/>
        </w:rPr>
        <w:t xml:space="preserve"> </w:t>
      </w:r>
      <w:r>
        <w:rPr>
          <w:color w:val="auto"/>
          <w:w w:val="95"/>
          <w:sz w:val="32"/>
          <w:szCs w:val="32"/>
        </w:rPr>
        <w:t>表</w:t>
      </w:r>
    </w:p>
    <w:p w14:paraId="10655600">
      <w:pPr>
        <w:rPr>
          <w:rFonts w:hint="eastAsia" w:ascii="宋体" w:hAnsi="宋体"/>
          <w:color w:val="auto"/>
        </w:rPr>
      </w:pPr>
      <w:r>
        <w:rPr>
          <w:rFonts w:hint="eastAsia" w:ascii="宋体" w:hAnsi="宋体"/>
          <w:color w:val="auto"/>
        </w:rPr>
        <w:t>致深圳市南山区慢性病防治院：</w:t>
      </w:r>
    </w:p>
    <w:p w14:paraId="1AA10290">
      <w:pPr>
        <w:rPr>
          <w:color w:val="auto"/>
          <w:sz w:val="40"/>
        </w:rPr>
      </w:pPr>
      <w:r>
        <w:rPr>
          <w:rFonts w:hint="eastAsia" w:ascii="宋体" w:hAnsi="宋体"/>
          <w:color w:val="auto"/>
        </w:rPr>
        <w:t>报价如下（人民币报价、单位：元）</w:t>
      </w:r>
    </w:p>
    <w:p w14:paraId="2DEC0982">
      <w:pPr>
        <w:pStyle w:val="2"/>
        <w:spacing w:before="9"/>
        <w:rPr>
          <w:color w:val="auto"/>
          <w:sz w:val="10"/>
        </w:rPr>
      </w:pPr>
    </w:p>
    <w:tbl>
      <w:tblPr>
        <w:tblStyle w:val="33"/>
        <w:tblW w:w="9825" w:type="dxa"/>
        <w:tblInd w:w="-5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0"/>
        <w:gridCol w:w="4239"/>
        <w:gridCol w:w="2031"/>
        <w:gridCol w:w="1800"/>
        <w:gridCol w:w="1305"/>
      </w:tblGrid>
      <w:tr w14:paraId="73BB94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450" w:type="dxa"/>
            <w:vAlign w:val="center"/>
          </w:tcPr>
          <w:p w14:paraId="533586BC">
            <w:pPr>
              <w:pStyle w:val="32"/>
              <w:ind w:right="595"/>
              <w:jc w:val="both"/>
              <w:rPr>
                <w:rFonts w:hint="eastAsia" w:ascii="新宋体" w:hAnsi="新宋体" w:eastAsia="新宋体" w:cs="新宋体"/>
                <w:b/>
                <w:bCs/>
                <w:color w:val="auto"/>
                <w:sz w:val="21"/>
                <w:szCs w:val="21"/>
                <w:lang w:eastAsia="en-US"/>
              </w:rPr>
            </w:pPr>
            <w:r>
              <w:rPr>
                <w:rFonts w:hint="eastAsia" w:ascii="新宋体" w:hAnsi="新宋体" w:eastAsia="新宋体" w:cs="新宋体"/>
                <w:b/>
                <w:bCs/>
                <w:color w:val="auto"/>
                <w:sz w:val="21"/>
                <w:szCs w:val="21"/>
                <w:lang w:eastAsia="en-US"/>
              </w:rPr>
              <w:t>序号</w:t>
            </w:r>
          </w:p>
        </w:tc>
        <w:tc>
          <w:tcPr>
            <w:tcW w:w="4239" w:type="dxa"/>
            <w:vAlign w:val="center"/>
          </w:tcPr>
          <w:p w14:paraId="477EB137">
            <w:pPr>
              <w:pStyle w:val="32"/>
              <w:spacing w:before="4"/>
              <w:jc w:val="center"/>
              <w:rPr>
                <w:rFonts w:hint="eastAsia" w:ascii="新宋体" w:hAnsi="新宋体" w:eastAsia="新宋体" w:cs="新宋体"/>
                <w:b/>
                <w:bCs/>
                <w:color w:val="auto"/>
                <w:sz w:val="21"/>
                <w:szCs w:val="21"/>
                <w:lang w:eastAsia="en-US"/>
              </w:rPr>
            </w:pPr>
          </w:p>
          <w:p w14:paraId="6261596E">
            <w:pPr>
              <w:pStyle w:val="32"/>
              <w:ind w:left="1593" w:right="1581"/>
              <w:jc w:val="center"/>
              <w:rPr>
                <w:rFonts w:hint="eastAsia" w:ascii="新宋体" w:hAnsi="新宋体" w:eastAsia="新宋体" w:cs="新宋体"/>
                <w:b/>
                <w:bCs/>
                <w:color w:val="auto"/>
                <w:sz w:val="21"/>
                <w:szCs w:val="21"/>
                <w:lang w:eastAsia="en-US"/>
              </w:rPr>
            </w:pPr>
            <w:r>
              <w:rPr>
                <w:rFonts w:hint="eastAsia" w:ascii="新宋体" w:hAnsi="新宋体" w:eastAsia="新宋体" w:cs="新宋体"/>
                <w:b/>
                <w:bCs/>
                <w:color w:val="auto"/>
                <w:sz w:val="21"/>
                <w:szCs w:val="21"/>
                <w:lang w:eastAsia="en-US"/>
              </w:rPr>
              <w:t>项目名称</w:t>
            </w:r>
          </w:p>
        </w:tc>
        <w:tc>
          <w:tcPr>
            <w:tcW w:w="2031" w:type="dxa"/>
            <w:vAlign w:val="center"/>
          </w:tcPr>
          <w:p w14:paraId="4BB0B19E">
            <w:pPr>
              <w:pStyle w:val="32"/>
              <w:spacing w:before="4"/>
              <w:jc w:val="center"/>
              <w:rPr>
                <w:rFonts w:hint="eastAsia" w:ascii="新宋体" w:hAnsi="新宋体" w:eastAsia="新宋体" w:cs="新宋体"/>
                <w:b/>
                <w:bCs/>
                <w:color w:val="auto"/>
                <w:sz w:val="21"/>
                <w:szCs w:val="21"/>
                <w:lang w:eastAsia="en-US"/>
              </w:rPr>
            </w:pPr>
          </w:p>
          <w:p w14:paraId="549AE060">
            <w:pPr>
              <w:pStyle w:val="32"/>
              <w:ind w:left="448"/>
              <w:jc w:val="center"/>
              <w:rPr>
                <w:rFonts w:hint="eastAsia" w:ascii="新宋体" w:hAnsi="新宋体" w:eastAsia="新宋体" w:cs="新宋体"/>
                <w:b/>
                <w:bCs/>
                <w:color w:val="auto"/>
                <w:sz w:val="21"/>
                <w:szCs w:val="21"/>
                <w:lang w:eastAsia="en-US"/>
              </w:rPr>
            </w:pPr>
            <w:r>
              <w:rPr>
                <w:rFonts w:hint="eastAsia" w:ascii="新宋体" w:hAnsi="新宋体" w:eastAsia="新宋体" w:cs="新宋体"/>
                <w:b/>
                <w:bCs/>
                <w:color w:val="auto"/>
                <w:sz w:val="21"/>
                <w:szCs w:val="21"/>
                <w:lang w:eastAsia="en-US"/>
              </w:rPr>
              <w:t>报价（元）</w:t>
            </w:r>
          </w:p>
        </w:tc>
        <w:tc>
          <w:tcPr>
            <w:tcW w:w="1800" w:type="dxa"/>
            <w:vAlign w:val="center"/>
          </w:tcPr>
          <w:p w14:paraId="549EA4E1">
            <w:pPr>
              <w:pStyle w:val="32"/>
              <w:spacing w:before="4"/>
              <w:jc w:val="center"/>
              <w:rPr>
                <w:rFonts w:hint="eastAsia" w:ascii="新宋体" w:hAnsi="新宋体" w:eastAsia="新宋体" w:cs="新宋体"/>
                <w:b/>
                <w:bCs/>
                <w:color w:val="auto"/>
                <w:sz w:val="21"/>
                <w:szCs w:val="21"/>
                <w:lang w:eastAsia="en-US"/>
              </w:rPr>
            </w:pPr>
          </w:p>
          <w:p w14:paraId="65283C0E">
            <w:pPr>
              <w:pStyle w:val="32"/>
              <w:ind w:left="271"/>
              <w:jc w:val="center"/>
              <w:rPr>
                <w:rFonts w:hint="eastAsia" w:ascii="新宋体" w:hAnsi="新宋体" w:eastAsia="新宋体" w:cs="新宋体"/>
                <w:b/>
                <w:bCs/>
                <w:color w:val="auto"/>
                <w:sz w:val="21"/>
                <w:szCs w:val="21"/>
                <w:lang w:eastAsia="en-US"/>
              </w:rPr>
            </w:pPr>
            <w:r>
              <w:rPr>
                <w:rFonts w:hint="eastAsia" w:ascii="新宋体" w:hAnsi="新宋体" w:eastAsia="新宋体" w:cs="新宋体"/>
                <w:b/>
                <w:bCs/>
                <w:color w:val="auto"/>
                <w:sz w:val="21"/>
                <w:szCs w:val="21"/>
                <w:lang w:eastAsia="en-US"/>
              </w:rPr>
              <w:t>服务期</w:t>
            </w:r>
          </w:p>
        </w:tc>
        <w:tc>
          <w:tcPr>
            <w:tcW w:w="1305" w:type="dxa"/>
            <w:vAlign w:val="center"/>
          </w:tcPr>
          <w:p w14:paraId="5394C9A4">
            <w:pPr>
              <w:pStyle w:val="32"/>
              <w:spacing w:before="4"/>
              <w:jc w:val="center"/>
              <w:rPr>
                <w:rFonts w:hint="eastAsia" w:ascii="新宋体" w:hAnsi="新宋体" w:eastAsia="新宋体" w:cs="新宋体"/>
                <w:b/>
                <w:bCs/>
                <w:color w:val="auto"/>
                <w:sz w:val="21"/>
                <w:szCs w:val="21"/>
                <w:lang w:eastAsia="en-US"/>
              </w:rPr>
            </w:pPr>
          </w:p>
          <w:p w14:paraId="0E086947">
            <w:pPr>
              <w:pStyle w:val="32"/>
              <w:ind w:left="247"/>
              <w:jc w:val="center"/>
              <w:rPr>
                <w:rFonts w:hint="eastAsia" w:ascii="新宋体" w:hAnsi="新宋体" w:eastAsia="新宋体" w:cs="新宋体"/>
                <w:b/>
                <w:bCs/>
                <w:color w:val="auto"/>
                <w:sz w:val="21"/>
                <w:szCs w:val="21"/>
                <w:lang w:eastAsia="en-US"/>
              </w:rPr>
            </w:pPr>
            <w:r>
              <w:rPr>
                <w:rFonts w:hint="eastAsia" w:ascii="新宋体" w:hAnsi="新宋体" w:eastAsia="新宋体" w:cs="新宋体"/>
                <w:b/>
                <w:bCs/>
                <w:color w:val="auto"/>
                <w:sz w:val="21"/>
                <w:szCs w:val="21"/>
                <w:lang w:eastAsia="en-US"/>
              </w:rPr>
              <w:t>备注</w:t>
            </w:r>
          </w:p>
        </w:tc>
      </w:tr>
      <w:tr w14:paraId="272BBE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1" w:hRule="atLeast"/>
        </w:trPr>
        <w:tc>
          <w:tcPr>
            <w:tcW w:w="450" w:type="dxa"/>
          </w:tcPr>
          <w:p w14:paraId="7E35EB39">
            <w:pPr>
              <w:pStyle w:val="32"/>
              <w:rPr>
                <w:rFonts w:hint="eastAsia" w:ascii="Times New Roman"/>
                <w:color w:val="auto"/>
                <w:sz w:val="20"/>
                <w:lang w:eastAsia="en-US"/>
              </w:rPr>
            </w:pPr>
          </w:p>
        </w:tc>
        <w:tc>
          <w:tcPr>
            <w:tcW w:w="4239" w:type="dxa"/>
          </w:tcPr>
          <w:p w14:paraId="758DD706">
            <w:pPr>
              <w:pStyle w:val="32"/>
              <w:rPr>
                <w:rFonts w:hint="eastAsia" w:ascii="Times New Roman"/>
                <w:color w:val="auto"/>
                <w:sz w:val="20"/>
                <w:lang w:eastAsia="en-US"/>
              </w:rPr>
            </w:pPr>
          </w:p>
        </w:tc>
        <w:tc>
          <w:tcPr>
            <w:tcW w:w="2031" w:type="dxa"/>
          </w:tcPr>
          <w:p w14:paraId="5D7F01FB">
            <w:pPr>
              <w:pStyle w:val="32"/>
              <w:rPr>
                <w:rFonts w:hint="eastAsia" w:ascii="Times New Roman"/>
                <w:color w:val="auto"/>
                <w:sz w:val="20"/>
                <w:lang w:eastAsia="en-US"/>
              </w:rPr>
            </w:pPr>
          </w:p>
        </w:tc>
        <w:tc>
          <w:tcPr>
            <w:tcW w:w="1800" w:type="dxa"/>
          </w:tcPr>
          <w:p w14:paraId="6C7BDD50">
            <w:pPr>
              <w:pStyle w:val="32"/>
              <w:rPr>
                <w:rFonts w:hint="eastAsia" w:ascii="Times New Roman"/>
                <w:color w:val="auto"/>
                <w:sz w:val="20"/>
                <w:lang w:eastAsia="en-US"/>
              </w:rPr>
            </w:pPr>
          </w:p>
        </w:tc>
        <w:tc>
          <w:tcPr>
            <w:tcW w:w="1305" w:type="dxa"/>
          </w:tcPr>
          <w:p w14:paraId="66E62BD0">
            <w:pPr>
              <w:pStyle w:val="32"/>
              <w:rPr>
                <w:rFonts w:hint="eastAsia" w:ascii="Times New Roman"/>
                <w:color w:val="auto"/>
                <w:sz w:val="20"/>
                <w:lang w:eastAsia="en-US"/>
              </w:rPr>
            </w:pPr>
          </w:p>
        </w:tc>
      </w:tr>
    </w:tbl>
    <w:p w14:paraId="542BA89A">
      <w:pPr>
        <w:pStyle w:val="2"/>
        <w:rPr>
          <w:color w:val="auto"/>
          <w:sz w:val="22"/>
        </w:rPr>
      </w:pPr>
    </w:p>
    <w:p w14:paraId="29EFF722">
      <w:pPr>
        <w:rPr>
          <w:rFonts w:hint="eastAsia" w:ascii="宋体" w:hAnsi="宋体" w:cs="仿宋_GB2312"/>
          <w:color w:val="auto"/>
          <w:lang w:val="zh-CN"/>
        </w:rPr>
      </w:pPr>
      <w:r>
        <w:rPr>
          <w:rFonts w:hint="eastAsia" w:ascii="宋体" w:hAnsi="宋体" w:cs="仿宋_GB2312"/>
          <w:color w:val="auto"/>
          <w:lang w:val="zh-CN"/>
        </w:rPr>
        <w:t>公司名称（</w:t>
      </w:r>
      <w:r>
        <w:rPr>
          <w:rFonts w:hint="eastAsia" w:ascii="宋体" w:hAnsi="宋体" w:cs="仿宋_GB2312"/>
          <w:color w:val="auto"/>
        </w:rPr>
        <w:t>盖章</w:t>
      </w:r>
      <w:r>
        <w:rPr>
          <w:rFonts w:hint="eastAsia" w:ascii="宋体" w:hAnsi="宋体" w:cs="仿宋_GB2312"/>
          <w:color w:val="auto"/>
          <w:lang w:val="zh-CN"/>
        </w:rPr>
        <w:t>）：</w:t>
      </w:r>
    </w:p>
    <w:p w14:paraId="75E8AF5C">
      <w:pPr>
        <w:rPr>
          <w:rFonts w:hint="eastAsia" w:ascii="宋体" w:hAnsi="宋体" w:cs="仿宋_GB2312"/>
          <w:color w:val="auto"/>
          <w:lang w:val="zh-CN"/>
        </w:rPr>
      </w:pPr>
    </w:p>
    <w:p w14:paraId="7A9C5EB8">
      <w:pPr>
        <w:rPr>
          <w:rFonts w:hint="eastAsia" w:ascii="宋体" w:hAnsi="宋体" w:cs="仿宋_GB2312"/>
          <w:color w:val="auto"/>
          <w:lang w:val="zh-CN"/>
        </w:rPr>
      </w:pPr>
      <w:r>
        <w:rPr>
          <w:rFonts w:hint="eastAsia" w:ascii="宋体" w:hAnsi="宋体" w:cs="仿宋_GB2312"/>
          <w:color w:val="auto"/>
          <w:lang w:val="zh-CN"/>
        </w:rPr>
        <w:t>法人或法人授权人签名：</w:t>
      </w:r>
    </w:p>
    <w:p w14:paraId="5BEAB440">
      <w:pPr>
        <w:rPr>
          <w:rFonts w:hint="eastAsia" w:ascii="宋体" w:hAnsi="宋体" w:cs="仿宋_GB2312"/>
          <w:color w:val="auto"/>
          <w:lang w:val="zh-CN"/>
        </w:rPr>
      </w:pPr>
    </w:p>
    <w:p w14:paraId="5611DB62">
      <w:pPr>
        <w:rPr>
          <w:rFonts w:hint="eastAsia" w:ascii="宋体" w:hAnsi="宋体" w:cs="仿宋_GB2312"/>
          <w:color w:val="auto"/>
          <w:lang w:val="zh-CN"/>
        </w:rPr>
      </w:pPr>
      <w:r>
        <w:rPr>
          <w:rFonts w:hint="eastAsia" w:ascii="宋体" w:hAnsi="宋体" w:cs="仿宋_GB2312"/>
          <w:color w:val="auto"/>
          <w:lang w:val="zh-CN"/>
        </w:rPr>
        <w:t>联系人电话：</w:t>
      </w:r>
    </w:p>
    <w:p w14:paraId="061A1A2B">
      <w:pPr>
        <w:jc w:val="right"/>
        <w:rPr>
          <w:rFonts w:hint="eastAsia" w:ascii="宋体" w:hAnsi="宋体"/>
          <w:color w:val="auto"/>
        </w:rPr>
      </w:pPr>
    </w:p>
    <w:p w14:paraId="326A95C0">
      <w:pPr>
        <w:pStyle w:val="34"/>
        <w:rPr>
          <w:rFonts w:hint="eastAsia" w:ascii="宋体" w:hAnsi="宋体"/>
          <w:color w:val="auto"/>
          <w:szCs w:val="21"/>
        </w:rPr>
      </w:pPr>
      <w:r>
        <w:rPr>
          <w:rFonts w:hint="eastAsia" w:ascii="宋体" w:hAnsi="宋体"/>
          <w:b/>
          <w:color w:val="auto"/>
          <w:szCs w:val="21"/>
        </w:rPr>
        <w:t xml:space="preserve">                                                              </w:t>
      </w:r>
      <w:r>
        <w:rPr>
          <w:rFonts w:hint="eastAsia" w:ascii="宋体" w:hAnsi="宋体"/>
          <w:color w:val="auto"/>
          <w:szCs w:val="21"/>
        </w:rPr>
        <w:t>年     月     日</w:t>
      </w:r>
    </w:p>
    <w:p w14:paraId="3DFFAE15">
      <w:pPr>
        <w:pStyle w:val="2"/>
        <w:spacing w:line="276" w:lineRule="auto"/>
        <w:jc w:val="left"/>
        <w:outlineLvl w:val="1"/>
        <w:rPr>
          <w:rFonts w:hint="eastAsia" w:ascii="宋体" w:hAnsi="宋体" w:eastAsia="宋体"/>
          <w:color w:val="auto"/>
          <w:sz w:val="21"/>
          <w:szCs w:val="21"/>
        </w:rPr>
      </w:pPr>
    </w:p>
    <w:p w14:paraId="14C63279">
      <w:pPr>
        <w:pStyle w:val="2"/>
        <w:spacing w:line="276" w:lineRule="auto"/>
        <w:jc w:val="left"/>
        <w:outlineLvl w:val="1"/>
        <w:rPr>
          <w:rFonts w:hint="eastAsia" w:ascii="宋体" w:hAnsi="宋体" w:eastAsia="宋体"/>
          <w:color w:val="auto"/>
          <w:sz w:val="21"/>
          <w:szCs w:val="21"/>
        </w:rPr>
      </w:pPr>
    </w:p>
    <w:p w14:paraId="128B1371">
      <w:pPr>
        <w:pStyle w:val="2"/>
        <w:spacing w:line="276" w:lineRule="auto"/>
        <w:jc w:val="left"/>
        <w:outlineLvl w:val="1"/>
        <w:rPr>
          <w:rFonts w:hint="eastAsia" w:ascii="宋体" w:hAnsi="宋体" w:eastAsia="宋体"/>
          <w:color w:val="auto"/>
          <w:sz w:val="21"/>
          <w:szCs w:val="21"/>
        </w:rPr>
      </w:pPr>
    </w:p>
    <w:p w14:paraId="7C759476">
      <w:pPr>
        <w:pStyle w:val="2"/>
        <w:spacing w:line="276" w:lineRule="auto"/>
        <w:jc w:val="left"/>
        <w:outlineLvl w:val="1"/>
        <w:rPr>
          <w:rFonts w:hint="eastAsia" w:ascii="宋体" w:hAnsi="宋体" w:eastAsia="宋体"/>
          <w:color w:val="auto"/>
          <w:sz w:val="21"/>
          <w:szCs w:val="21"/>
        </w:rPr>
      </w:pPr>
    </w:p>
    <w:p w14:paraId="3B8F3AB9">
      <w:pPr>
        <w:pStyle w:val="2"/>
        <w:numPr>
          <w:ilvl w:val="0"/>
          <w:numId w:val="1"/>
        </w:numPr>
        <w:spacing w:line="276" w:lineRule="auto"/>
        <w:jc w:val="left"/>
        <w:outlineLvl w:val="1"/>
        <w:rPr>
          <w:rFonts w:asciiTheme="majorHAnsi" w:hAnsiTheme="majorHAnsi" w:eastAsiaTheme="majorEastAsia" w:cstheme="majorBidi"/>
          <w:color w:val="auto"/>
          <w:w w:val="95"/>
          <w:sz w:val="32"/>
          <w:szCs w:val="32"/>
        </w:rPr>
      </w:pPr>
      <w:r>
        <w:rPr>
          <w:rFonts w:hint="eastAsia" w:asciiTheme="majorHAnsi" w:hAnsiTheme="majorHAnsi" w:eastAsiaTheme="majorEastAsia" w:cstheme="majorBidi"/>
          <w:color w:val="auto"/>
          <w:w w:val="95"/>
          <w:sz w:val="32"/>
          <w:szCs w:val="32"/>
        </w:rPr>
        <w:t>供应商资质（营业执照、法定代表人证明书及身份证、法人授权委托证明书及身份证）</w:t>
      </w:r>
    </w:p>
    <w:p w14:paraId="67EFFA1E">
      <w:pPr>
        <w:pStyle w:val="2"/>
        <w:spacing w:line="276" w:lineRule="auto"/>
        <w:jc w:val="left"/>
        <w:outlineLvl w:val="1"/>
        <w:rPr>
          <w:rFonts w:asciiTheme="majorHAnsi" w:hAnsiTheme="majorHAnsi" w:eastAsiaTheme="majorEastAsia" w:cstheme="majorBidi"/>
          <w:color w:val="auto"/>
          <w:w w:val="95"/>
          <w:sz w:val="32"/>
          <w:szCs w:val="32"/>
        </w:rPr>
      </w:pPr>
    </w:p>
    <w:p w14:paraId="45CD7ED5">
      <w:pPr>
        <w:pStyle w:val="2"/>
        <w:numPr>
          <w:ilvl w:val="0"/>
          <w:numId w:val="1"/>
        </w:numPr>
        <w:spacing w:line="276" w:lineRule="auto"/>
        <w:jc w:val="left"/>
        <w:outlineLvl w:val="1"/>
        <w:rPr>
          <w:rFonts w:hint="eastAsia" w:asciiTheme="majorHAnsi" w:hAnsiTheme="majorHAnsi" w:eastAsiaTheme="majorEastAsia" w:cstheme="majorBidi"/>
          <w:color w:val="auto"/>
          <w:w w:val="95"/>
          <w:sz w:val="32"/>
          <w:szCs w:val="32"/>
        </w:rPr>
      </w:pPr>
      <w:r>
        <w:rPr>
          <w:rFonts w:hint="eastAsia" w:asciiTheme="majorEastAsia" w:hAnsiTheme="majorEastAsia" w:eastAsiaTheme="majorEastAsia"/>
          <w:color w:val="auto"/>
          <w:sz w:val="32"/>
          <w:szCs w:val="32"/>
        </w:rPr>
        <w:t>《检验检测机构资质认定证书》</w:t>
      </w:r>
    </w:p>
    <w:p w14:paraId="778796E7">
      <w:pPr>
        <w:pStyle w:val="2"/>
        <w:spacing w:line="276" w:lineRule="auto"/>
        <w:jc w:val="left"/>
        <w:outlineLvl w:val="1"/>
        <w:rPr>
          <w:rFonts w:hint="eastAsia" w:ascii="宋体" w:hAnsi="宋体"/>
          <w:color w:val="auto"/>
        </w:rPr>
      </w:pPr>
    </w:p>
    <w:p w14:paraId="27B520D8">
      <w:pPr>
        <w:widowControl/>
        <w:jc w:val="center"/>
        <w:outlineLvl w:val="1"/>
        <w:rPr>
          <w:rFonts w:hint="eastAsia" w:asciiTheme="majorEastAsia" w:hAnsiTheme="majorEastAsia" w:eastAsiaTheme="majorEastAsia"/>
          <w:color w:val="auto"/>
          <w:sz w:val="32"/>
          <w:szCs w:val="32"/>
        </w:rPr>
      </w:pPr>
    </w:p>
    <w:p w14:paraId="74A13F8B">
      <w:pPr>
        <w:widowControl/>
        <w:snapToGrid w:val="0"/>
        <w:jc w:val="center"/>
        <w:rPr>
          <w:rFonts w:asciiTheme="majorEastAsia" w:hAnsiTheme="majorEastAsia" w:eastAsiaTheme="majorEastAsia"/>
          <w:color w:val="auto"/>
        </w:rPr>
      </w:pPr>
      <w:r>
        <w:rPr>
          <w:rFonts w:hint="eastAsia" w:asciiTheme="majorEastAsia" w:hAnsiTheme="majorEastAsia" w:eastAsiaTheme="majorEastAsia"/>
          <w:b/>
          <w:bCs/>
          <w:color w:val="auto"/>
          <w:sz w:val="32"/>
          <w:szCs w:val="32"/>
        </w:rPr>
        <w:t>四、供应商基本情况表</w:t>
      </w:r>
    </w:p>
    <w:p w14:paraId="157A12B3">
      <w:pPr>
        <w:rPr>
          <w:color w:val="auto"/>
        </w:rPr>
      </w:pPr>
    </w:p>
    <w:p w14:paraId="74A9E494">
      <w:pP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填表单位：（加盖单位公章）</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t xml:space="preserve">   填表日期：    年   月   日</w:t>
      </w:r>
    </w:p>
    <w:tbl>
      <w:tblPr>
        <w:tblStyle w:val="15"/>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676"/>
        <w:gridCol w:w="1701"/>
        <w:gridCol w:w="1013"/>
        <w:gridCol w:w="630"/>
        <w:gridCol w:w="1200"/>
        <w:gridCol w:w="1500"/>
        <w:gridCol w:w="1485"/>
      </w:tblGrid>
      <w:tr w14:paraId="53C43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vAlign w:val="center"/>
          </w:tcPr>
          <w:p w14:paraId="4EB32F28">
            <w:pPr>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采购人</w:t>
            </w:r>
          </w:p>
        </w:tc>
        <w:tc>
          <w:tcPr>
            <w:tcW w:w="2714" w:type="dxa"/>
            <w:gridSpan w:val="2"/>
            <w:vAlign w:val="center"/>
          </w:tcPr>
          <w:p w14:paraId="4C558414">
            <w:pPr>
              <w:jc w:val="center"/>
              <w:rPr>
                <w:rFonts w:hint="eastAsia" w:ascii="方正仿宋_GBK" w:hAnsi="方正仿宋_GBK" w:eastAsia="方正仿宋_GBK" w:cs="方正仿宋_GBK"/>
                <w:color w:val="auto"/>
                <w:sz w:val="24"/>
                <w:szCs w:val="24"/>
              </w:rPr>
            </w:pPr>
          </w:p>
        </w:tc>
        <w:tc>
          <w:tcPr>
            <w:tcW w:w="1830" w:type="dxa"/>
            <w:gridSpan w:val="2"/>
            <w:vAlign w:val="center"/>
          </w:tcPr>
          <w:p w14:paraId="2C27158B">
            <w:pPr>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项目名称</w:t>
            </w:r>
          </w:p>
        </w:tc>
        <w:tc>
          <w:tcPr>
            <w:tcW w:w="2985" w:type="dxa"/>
            <w:gridSpan w:val="2"/>
            <w:vAlign w:val="center"/>
          </w:tcPr>
          <w:p w14:paraId="66BDD25B">
            <w:pPr>
              <w:jc w:val="center"/>
              <w:rPr>
                <w:rFonts w:hint="eastAsia" w:ascii="方正仿宋_GBK" w:hAnsi="方正仿宋_GBK" w:eastAsia="方正仿宋_GBK" w:cs="方正仿宋_GBK"/>
                <w:color w:val="auto"/>
                <w:sz w:val="24"/>
                <w:szCs w:val="24"/>
              </w:rPr>
            </w:pPr>
          </w:p>
        </w:tc>
      </w:tr>
      <w:tr w14:paraId="64F71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vAlign w:val="center"/>
          </w:tcPr>
          <w:p w14:paraId="5981B4EE">
            <w:pPr>
              <w:snapToGrid w:val="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响应供应商</w:t>
            </w:r>
          </w:p>
        </w:tc>
        <w:tc>
          <w:tcPr>
            <w:tcW w:w="2714" w:type="dxa"/>
            <w:gridSpan w:val="2"/>
            <w:vAlign w:val="center"/>
          </w:tcPr>
          <w:p w14:paraId="7CF24A87">
            <w:pPr>
              <w:jc w:val="center"/>
              <w:rPr>
                <w:rFonts w:hint="eastAsia" w:ascii="方正仿宋_GBK" w:hAnsi="方正仿宋_GBK" w:eastAsia="方正仿宋_GBK" w:cs="方正仿宋_GBK"/>
                <w:color w:val="auto"/>
                <w:sz w:val="24"/>
                <w:szCs w:val="24"/>
              </w:rPr>
            </w:pPr>
          </w:p>
        </w:tc>
        <w:tc>
          <w:tcPr>
            <w:tcW w:w="1830" w:type="dxa"/>
            <w:gridSpan w:val="2"/>
            <w:vAlign w:val="center"/>
          </w:tcPr>
          <w:p w14:paraId="29022455">
            <w:pPr>
              <w:snapToGrid w:val="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供应商统一社会信用代码</w:t>
            </w:r>
          </w:p>
        </w:tc>
        <w:tc>
          <w:tcPr>
            <w:tcW w:w="2985" w:type="dxa"/>
            <w:gridSpan w:val="2"/>
            <w:vAlign w:val="center"/>
          </w:tcPr>
          <w:p w14:paraId="2225AAC7">
            <w:pPr>
              <w:jc w:val="center"/>
              <w:rPr>
                <w:rFonts w:hint="eastAsia" w:ascii="方正仿宋_GBK" w:hAnsi="方正仿宋_GBK" w:eastAsia="方正仿宋_GBK" w:cs="方正仿宋_GBK"/>
                <w:color w:val="auto"/>
                <w:sz w:val="24"/>
                <w:szCs w:val="24"/>
              </w:rPr>
            </w:pPr>
          </w:p>
        </w:tc>
      </w:tr>
      <w:tr w14:paraId="1CA61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vAlign w:val="center"/>
          </w:tcPr>
          <w:p w14:paraId="22983B6A">
            <w:pPr>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b/>
                <w:bCs/>
                <w:color w:val="auto"/>
                <w:sz w:val="24"/>
                <w:szCs w:val="24"/>
              </w:rPr>
              <w:t>响应供应商相关人员情况</w:t>
            </w:r>
          </w:p>
        </w:tc>
      </w:tr>
      <w:tr w14:paraId="2EBAD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vAlign w:val="center"/>
          </w:tcPr>
          <w:p w14:paraId="0037536D">
            <w:pPr>
              <w:snapToGrid w:val="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序号</w:t>
            </w:r>
          </w:p>
        </w:tc>
        <w:tc>
          <w:tcPr>
            <w:tcW w:w="2377" w:type="dxa"/>
            <w:gridSpan w:val="2"/>
            <w:tcBorders>
              <w:bottom w:val="single" w:color="auto" w:sz="4" w:space="0"/>
            </w:tcBorders>
            <w:vAlign w:val="center"/>
          </w:tcPr>
          <w:p w14:paraId="1B4A3D42">
            <w:pPr>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职务</w:t>
            </w:r>
          </w:p>
        </w:tc>
        <w:tc>
          <w:tcPr>
            <w:tcW w:w="1013" w:type="dxa"/>
            <w:tcBorders>
              <w:bottom w:val="single" w:color="auto" w:sz="4" w:space="0"/>
            </w:tcBorders>
            <w:vAlign w:val="center"/>
          </w:tcPr>
          <w:p w14:paraId="239212DA">
            <w:pPr>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姓名</w:t>
            </w:r>
          </w:p>
        </w:tc>
        <w:tc>
          <w:tcPr>
            <w:tcW w:w="1830" w:type="dxa"/>
            <w:gridSpan w:val="2"/>
            <w:tcBorders>
              <w:bottom w:val="single" w:color="auto" w:sz="4" w:space="0"/>
            </w:tcBorders>
            <w:vAlign w:val="center"/>
          </w:tcPr>
          <w:p w14:paraId="25414267">
            <w:pPr>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身份证号码</w:t>
            </w:r>
          </w:p>
        </w:tc>
        <w:tc>
          <w:tcPr>
            <w:tcW w:w="1500" w:type="dxa"/>
            <w:tcBorders>
              <w:bottom w:val="single" w:color="auto" w:sz="4" w:space="0"/>
            </w:tcBorders>
            <w:vAlign w:val="center"/>
          </w:tcPr>
          <w:p w14:paraId="70D738F9">
            <w:pPr>
              <w:snapToGrid w:val="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劳动合同</w:t>
            </w:r>
          </w:p>
          <w:p w14:paraId="1815A1C2">
            <w:pPr>
              <w:snapToGrid w:val="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关系单位</w:t>
            </w:r>
          </w:p>
        </w:tc>
        <w:tc>
          <w:tcPr>
            <w:tcW w:w="1485" w:type="dxa"/>
            <w:tcBorders>
              <w:bottom w:val="single" w:color="auto" w:sz="4" w:space="0"/>
            </w:tcBorders>
            <w:vAlign w:val="center"/>
          </w:tcPr>
          <w:p w14:paraId="2971253D">
            <w:pPr>
              <w:snapToGrid w:val="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缴纳社会</w:t>
            </w:r>
          </w:p>
          <w:p w14:paraId="2C09D40F">
            <w:pPr>
              <w:snapToGrid w:val="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保险单位</w:t>
            </w:r>
          </w:p>
        </w:tc>
      </w:tr>
      <w:tr w14:paraId="5E99A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14:paraId="6FA0331C">
            <w:pPr>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w:t>
            </w:r>
          </w:p>
        </w:tc>
        <w:tc>
          <w:tcPr>
            <w:tcW w:w="2377" w:type="dxa"/>
            <w:gridSpan w:val="2"/>
            <w:tcBorders>
              <w:top w:val="single" w:color="auto" w:sz="4" w:space="0"/>
              <w:left w:val="single" w:color="auto" w:sz="4" w:space="0"/>
              <w:bottom w:val="single" w:color="auto" w:sz="4" w:space="0"/>
              <w:right w:val="single" w:color="auto" w:sz="4" w:space="0"/>
            </w:tcBorders>
            <w:vAlign w:val="center"/>
          </w:tcPr>
          <w:p w14:paraId="210679B0">
            <w:pPr>
              <w:spacing w:line="46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2"/>
              </w:rPr>
              <w:t>法定代表人/单位负责人/主要经营负责人</w:t>
            </w:r>
          </w:p>
        </w:tc>
        <w:tc>
          <w:tcPr>
            <w:tcW w:w="1013" w:type="dxa"/>
            <w:tcBorders>
              <w:top w:val="single" w:color="auto" w:sz="4" w:space="0"/>
              <w:left w:val="single" w:color="auto" w:sz="4" w:space="0"/>
              <w:bottom w:val="single" w:color="auto" w:sz="4" w:space="0"/>
              <w:right w:val="single" w:color="auto" w:sz="4" w:space="0"/>
            </w:tcBorders>
            <w:vAlign w:val="center"/>
          </w:tcPr>
          <w:p w14:paraId="536C4C2B">
            <w:pPr>
              <w:jc w:val="center"/>
              <w:rPr>
                <w:rFonts w:hint="eastAsia" w:ascii="方正仿宋_GBK" w:hAnsi="方正仿宋_GBK" w:eastAsia="方正仿宋_GBK" w:cs="方正仿宋_GBK"/>
                <w:color w:val="auto"/>
                <w:sz w:val="24"/>
                <w:szCs w:val="24"/>
              </w:rPr>
            </w:pPr>
          </w:p>
        </w:tc>
        <w:tc>
          <w:tcPr>
            <w:tcW w:w="1830" w:type="dxa"/>
            <w:gridSpan w:val="2"/>
            <w:tcBorders>
              <w:top w:val="single" w:color="auto" w:sz="4" w:space="0"/>
              <w:left w:val="single" w:color="auto" w:sz="4" w:space="0"/>
              <w:bottom w:val="single" w:color="auto" w:sz="4" w:space="0"/>
              <w:right w:val="single" w:color="auto" w:sz="4" w:space="0"/>
            </w:tcBorders>
            <w:vAlign w:val="center"/>
          </w:tcPr>
          <w:p w14:paraId="26FF3A38">
            <w:pPr>
              <w:jc w:val="center"/>
              <w:rPr>
                <w:rFonts w:hint="eastAsia" w:ascii="方正仿宋_GBK" w:hAnsi="方正仿宋_GBK" w:eastAsia="方正仿宋_GBK" w:cs="方正仿宋_GBK"/>
                <w:color w:val="auto"/>
                <w:sz w:val="24"/>
                <w:szCs w:val="24"/>
              </w:rPr>
            </w:pPr>
          </w:p>
        </w:tc>
        <w:tc>
          <w:tcPr>
            <w:tcW w:w="1500" w:type="dxa"/>
            <w:tcBorders>
              <w:top w:val="single" w:color="auto" w:sz="4" w:space="0"/>
              <w:left w:val="single" w:color="auto" w:sz="4" w:space="0"/>
              <w:bottom w:val="single" w:color="auto" w:sz="4" w:space="0"/>
              <w:right w:val="single" w:color="auto" w:sz="4" w:space="0"/>
            </w:tcBorders>
            <w:vAlign w:val="center"/>
          </w:tcPr>
          <w:p w14:paraId="6CB6E4FD">
            <w:pPr>
              <w:jc w:val="center"/>
              <w:rPr>
                <w:rFonts w:hint="eastAsia" w:ascii="方正仿宋_GBK" w:hAnsi="方正仿宋_GBK" w:eastAsia="方正仿宋_GBK" w:cs="方正仿宋_GBK"/>
                <w:color w:val="auto"/>
                <w:sz w:val="24"/>
                <w:szCs w:val="24"/>
              </w:rPr>
            </w:pPr>
          </w:p>
        </w:tc>
        <w:tc>
          <w:tcPr>
            <w:tcW w:w="1485" w:type="dxa"/>
            <w:tcBorders>
              <w:top w:val="single" w:color="auto" w:sz="4" w:space="0"/>
              <w:left w:val="single" w:color="auto" w:sz="4" w:space="0"/>
              <w:bottom w:val="single" w:color="auto" w:sz="4" w:space="0"/>
              <w:right w:val="single" w:color="auto" w:sz="4" w:space="0"/>
            </w:tcBorders>
            <w:vAlign w:val="center"/>
          </w:tcPr>
          <w:p w14:paraId="2A02A64E">
            <w:pPr>
              <w:jc w:val="center"/>
              <w:rPr>
                <w:rFonts w:hint="eastAsia" w:ascii="方正仿宋_GBK" w:hAnsi="方正仿宋_GBK" w:eastAsia="方正仿宋_GBK" w:cs="方正仿宋_GBK"/>
                <w:color w:val="auto"/>
                <w:sz w:val="24"/>
                <w:szCs w:val="24"/>
              </w:rPr>
            </w:pPr>
          </w:p>
        </w:tc>
      </w:tr>
      <w:tr w14:paraId="7BA0D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14:paraId="5792C85E">
            <w:pPr>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w:t>
            </w:r>
          </w:p>
        </w:tc>
        <w:tc>
          <w:tcPr>
            <w:tcW w:w="2377" w:type="dxa"/>
            <w:gridSpan w:val="2"/>
            <w:tcBorders>
              <w:top w:val="single" w:color="auto" w:sz="4" w:space="0"/>
              <w:left w:val="single" w:color="auto" w:sz="4" w:space="0"/>
              <w:bottom w:val="single" w:color="auto" w:sz="4" w:space="0"/>
              <w:right w:val="single" w:color="auto" w:sz="4" w:space="0"/>
            </w:tcBorders>
            <w:vAlign w:val="center"/>
          </w:tcPr>
          <w:p w14:paraId="74EDD7C4">
            <w:pPr>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2"/>
              </w:rPr>
              <w:t>项目投标授权代表人</w:t>
            </w:r>
          </w:p>
        </w:tc>
        <w:tc>
          <w:tcPr>
            <w:tcW w:w="1013" w:type="dxa"/>
            <w:tcBorders>
              <w:top w:val="single" w:color="auto" w:sz="4" w:space="0"/>
              <w:left w:val="single" w:color="auto" w:sz="4" w:space="0"/>
              <w:bottom w:val="single" w:color="auto" w:sz="4" w:space="0"/>
              <w:right w:val="single" w:color="auto" w:sz="4" w:space="0"/>
            </w:tcBorders>
            <w:vAlign w:val="center"/>
          </w:tcPr>
          <w:p w14:paraId="1E7DA550">
            <w:pPr>
              <w:jc w:val="center"/>
              <w:rPr>
                <w:rFonts w:hint="eastAsia" w:ascii="方正仿宋_GBK" w:hAnsi="方正仿宋_GBK" w:eastAsia="方正仿宋_GBK" w:cs="方正仿宋_GBK"/>
                <w:color w:val="auto"/>
                <w:sz w:val="24"/>
                <w:szCs w:val="24"/>
              </w:rPr>
            </w:pPr>
          </w:p>
        </w:tc>
        <w:tc>
          <w:tcPr>
            <w:tcW w:w="1830" w:type="dxa"/>
            <w:gridSpan w:val="2"/>
            <w:tcBorders>
              <w:top w:val="single" w:color="auto" w:sz="4" w:space="0"/>
              <w:left w:val="single" w:color="auto" w:sz="4" w:space="0"/>
              <w:bottom w:val="single" w:color="auto" w:sz="4" w:space="0"/>
              <w:right w:val="single" w:color="auto" w:sz="4" w:space="0"/>
            </w:tcBorders>
            <w:vAlign w:val="center"/>
          </w:tcPr>
          <w:p w14:paraId="28C66C06">
            <w:pPr>
              <w:jc w:val="center"/>
              <w:rPr>
                <w:rFonts w:hint="eastAsia" w:ascii="方正仿宋_GBK" w:hAnsi="方正仿宋_GBK" w:eastAsia="方正仿宋_GBK" w:cs="方正仿宋_GBK"/>
                <w:color w:val="auto"/>
                <w:sz w:val="24"/>
                <w:szCs w:val="24"/>
              </w:rPr>
            </w:pPr>
          </w:p>
        </w:tc>
        <w:tc>
          <w:tcPr>
            <w:tcW w:w="1500" w:type="dxa"/>
            <w:tcBorders>
              <w:top w:val="single" w:color="auto" w:sz="4" w:space="0"/>
              <w:left w:val="single" w:color="auto" w:sz="4" w:space="0"/>
              <w:bottom w:val="single" w:color="auto" w:sz="4" w:space="0"/>
              <w:right w:val="single" w:color="auto" w:sz="4" w:space="0"/>
            </w:tcBorders>
            <w:vAlign w:val="center"/>
          </w:tcPr>
          <w:p w14:paraId="1BFF2323">
            <w:pPr>
              <w:jc w:val="center"/>
              <w:rPr>
                <w:rFonts w:hint="eastAsia" w:ascii="方正仿宋_GBK" w:hAnsi="方正仿宋_GBK" w:eastAsia="方正仿宋_GBK" w:cs="方正仿宋_GBK"/>
                <w:color w:val="auto"/>
                <w:sz w:val="24"/>
                <w:szCs w:val="24"/>
              </w:rPr>
            </w:pPr>
          </w:p>
        </w:tc>
        <w:tc>
          <w:tcPr>
            <w:tcW w:w="1485" w:type="dxa"/>
            <w:tcBorders>
              <w:top w:val="single" w:color="auto" w:sz="4" w:space="0"/>
              <w:left w:val="single" w:color="auto" w:sz="4" w:space="0"/>
              <w:bottom w:val="single" w:color="auto" w:sz="4" w:space="0"/>
              <w:right w:val="single" w:color="auto" w:sz="4" w:space="0"/>
            </w:tcBorders>
            <w:vAlign w:val="center"/>
          </w:tcPr>
          <w:p w14:paraId="48BFB8C7">
            <w:pPr>
              <w:jc w:val="center"/>
              <w:rPr>
                <w:rFonts w:hint="eastAsia" w:ascii="方正仿宋_GBK" w:hAnsi="方正仿宋_GBK" w:eastAsia="方正仿宋_GBK" w:cs="方正仿宋_GBK"/>
                <w:color w:val="auto"/>
                <w:sz w:val="24"/>
                <w:szCs w:val="24"/>
              </w:rPr>
            </w:pPr>
          </w:p>
        </w:tc>
      </w:tr>
      <w:tr w14:paraId="0F8A3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vAlign w:val="center"/>
          </w:tcPr>
          <w:p w14:paraId="171FCDCB">
            <w:pPr>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bidi="ar"/>
              </w:rPr>
              <w:t>3</w:t>
            </w:r>
          </w:p>
        </w:tc>
        <w:tc>
          <w:tcPr>
            <w:tcW w:w="2377" w:type="dxa"/>
            <w:gridSpan w:val="2"/>
            <w:tcBorders>
              <w:top w:val="single" w:color="auto" w:sz="4" w:space="0"/>
            </w:tcBorders>
            <w:vAlign w:val="center"/>
          </w:tcPr>
          <w:p w14:paraId="127013FB">
            <w:pPr>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项目负责人（若有）</w:t>
            </w:r>
          </w:p>
        </w:tc>
        <w:tc>
          <w:tcPr>
            <w:tcW w:w="1013" w:type="dxa"/>
            <w:tcBorders>
              <w:top w:val="single" w:color="auto" w:sz="4" w:space="0"/>
            </w:tcBorders>
            <w:vAlign w:val="center"/>
          </w:tcPr>
          <w:p w14:paraId="1BBE4757">
            <w:pPr>
              <w:jc w:val="center"/>
              <w:rPr>
                <w:rFonts w:hint="eastAsia" w:ascii="方正仿宋_GBK" w:hAnsi="方正仿宋_GBK" w:eastAsia="方正仿宋_GBK" w:cs="方正仿宋_GBK"/>
                <w:color w:val="auto"/>
                <w:sz w:val="24"/>
                <w:szCs w:val="24"/>
              </w:rPr>
            </w:pPr>
          </w:p>
        </w:tc>
        <w:tc>
          <w:tcPr>
            <w:tcW w:w="1830" w:type="dxa"/>
            <w:gridSpan w:val="2"/>
            <w:tcBorders>
              <w:top w:val="single" w:color="auto" w:sz="4" w:space="0"/>
            </w:tcBorders>
            <w:vAlign w:val="center"/>
          </w:tcPr>
          <w:p w14:paraId="6BEB21D6">
            <w:pPr>
              <w:jc w:val="center"/>
              <w:rPr>
                <w:rFonts w:hint="eastAsia" w:ascii="方正仿宋_GBK" w:hAnsi="方正仿宋_GBK" w:eastAsia="方正仿宋_GBK" w:cs="方正仿宋_GBK"/>
                <w:color w:val="auto"/>
                <w:sz w:val="24"/>
                <w:szCs w:val="24"/>
              </w:rPr>
            </w:pPr>
          </w:p>
        </w:tc>
        <w:tc>
          <w:tcPr>
            <w:tcW w:w="1500" w:type="dxa"/>
            <w:tcBorders>
              <w:top w:val="single" w:color="auto" w:sz="4" w:space="0"/>
            </w:tcBorders>
            <w:vAlign w:val="center"/>
          </w:tcPr>
          <w:p w14:paraId="280EEA28">
            <w:pPr>
              <w:jc w:val="center"/>
              <w:rPr>
                <w:rFonts w:hint="eastAsia" w:ascii="方正仿宋_GBK" w:hAnsi="方正仿宋_GBK" w:eastAsia="方正仿宋_GBK" w:cs="方正仿宋_GBK"/>
                <w:color w:val="auto"/>
                <w:sz w:val="24"/>
                <w:szCs w:val="24"/>
              </w:rPr>
            </w:pPr>
          </w:p>
        </w:tc>
        <w:tc>
          <w:tcPr>
            <w:tcW w:w="1485" w:type="dxa"/>
            <w:tcBorders>
              <w:top w:val="single" w:color="auto" w:sz="4" w:space="0"/>
            </w:tcBorders>
            <w:vAlign w:val="center"/>
          </w:tcPr>
          <w:p w14:paraId="5008B107">
            <w:pPr>
              <w:jc w:val="center"/>
              <w:rPr>
                <w:rFonts w:hint="eastAsia" w:ascii="方正仿宋_GBK" w:hAnsi="方正仿宋_GBK" w:eastAsia="方正仿宋_GBK" w:cs="方正仿宋_GBK"/>
                <w:color w:val="auto"/>
                <w:sz w:val="24"/>
                <w:szCs w:val="24"/>
              </w:rPr>
            </w:pPr>
          </w:p>
        </w:tc>
      </w:tr>
      <w:tr w14:paraId="019EA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2499DFEC">
            <w:pPr>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bidi="ar"/>
              </w:rPr>
              <w:t>4</w:t>
            </w:r>
          </w:p>
        </w:tc>
        <w:tc>
          <w:tcPr>
            <w:tcW w:w="2377" w:type="dxa"/>
            <w:gridSpan w:val="2"/>
            <w:vAlign w:val="center"/>
          </w:tcPr>
          <w:p w14:paraId="5B0F7D4F">
            <w:pPr>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主要技术人员（若有）</w:t>
            </w:r>
          </w:p>
        </w:tc>
        <w:tc>
          <w:tcPr>
            <w:tcW w:w="1013" w:type="dxa"/>
            <w:vAlign w:val="center"/>
          </w:tcPr>
          <w:p w14:paraId="6B0EE30B">
            <w:pPr>
              <w:jc w:val="center"/>
              <w:rPr>
                <w:rFonts w:hint="eastAsia" w:ascii="方正仿宋_GBK" w:hAnsi="方正仿宋_GBK" w:eastAsia="方正仿宋_GBK" w:cs="方正仿宋_GBK"/>
                <w:color w:val="auto"/>
                <w:sz w:val="24"/>
                <w:szCs w:val="24"/>
              </w:rPr>
            </w:pPr>
          </w:p>
        </w:tc>
        <w:tc>
          <w:tcPr>
            <w:tcW w:w="1830" w:type="dxa"/>
            <w:gridSpan w:val="2"/>
            <w:vAlign w:val="center"/>
          </w:tcPr>
          <w:p w14:paraId="57FB9F59">
            <w:pPr>
              <w:jc w:val="center"/>
              <w:rPr>
                <w:rFonts w:hint="eastAsia" w:ascii="方正仿宋_GBK" w:hAnsi="方正仿宋_GBK" w:eastAsia="方正仿宋_GBK" w:cs="方正仿宋_GBK"/>
                <w:color w:val="auto"/>
                <w:sz w:val="24"/>
                <w:szCs w:val="24"/>
              </w:rPr>
            </w:pPr>
          </w:p>
        </w:tc>
        <w:tc>
          <w:tcPr>
            <w:tcW w:w="1500" w:type="dxa"/>
            <w:vAlign w:val="center"/>
          </w:tcPr>
          <w:p w14:paraId="7517D6FC">
            <w:pPr>
              <w:jc w:val="center"/>
              <w:rPr>
                <w:rFonts w:hint="eastAsia" w:ascii="方正仿宋_GBK" w:hAnsi="方正仿宋_GBK" w:eastAsia="方正仿宋_GBK" w:cs="方正仿宋_GBK"/>
                <w:color w:val="auto"/>
                <w:sz w:val="24"/>
                <w:szCs w:val="24"/>
              </w:rPr>
            </w:pPr>
          </w:p>
        </w:tc>
        <w:tc>
          <w:tcPr>
            <w:tcW w:w="1485" w:type="dxa"/>
            <w:vAlign w:val="center"/>
          </w:tcPr>
          <w:p w14:paraId="2A85CFBC">
            <w:pPr>
              <w:jc w:val="center"/>
              <w:rPr>
                <w:rFonts w:hint="eastAsia" w:ascii="方正仿宋_GBK" w:hAnsi="方正仿宋_GBK" w:eastAsia="方正仿宋_GBK" w:cs="方正仿宋_GBK"/>
                <w:color w:val="auto"/>
                <w:sz w:val="24"/>
                <w:szCs w:val="24"/>
              </w:rPr>
            </w:pPr>
          </w:p>
        </w:tc>
      </w:tr>
      <w:tr w14:paraId="3E205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000FA12B">
            <w:pPr>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bidi="ar"/>
              </w:rPr>
              <w:t>5</w:t>
            </w:r>
          </w:p>
        </w:tc>
        <w:tc>
          <w:tcPr>
            <w:tcW w:w="2377" w:type="dxa"/>
            <w:gridSpan w:val="2"/>
            <w:vAlign w:val="center"/>
          </w:tcPr>
          <w:p w14:paraId="1916A019">
            <w:pPr>
              <w:pStyle w:val="6"/>
              <w:snapToGrid w:val="0"/>
              <w:ind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询价文件编制人员</w:t>
            </w:r>
          </w:p>
        </w:tc>
        <w:tc>
          <w:tcPr>
            <w:tcW w:w="1013" w:type="dxa"/>
            <w:vAlign w:val="center"/>
          </w:tcPr>
          <w:p w14:paraId="5D405118">
            <w:pPr>
              <w:jc w:val="center"/>
              <w:rPr>
                <w:rFonts w:hint="eastAsia" w:ascii="方正仿宋_GBK" w:hAnsi="方正仿宋_GBK" w:eastAsia="方正仿宋_GBK" w:cs="方正仿宋_GBK"/>
                <w:color w:val="auto"/>
                <w:sz w:val="24"/>
                <w:szCs w:val="24"/>
              </w:rPr>
            </w:pPr>
          </w:p>
        </w:tc>
        <w:tc>
          <w:tcPr>
            <w:tcW w:w="1830" w:type="dxa"/>
            <w:gridSpan w:val="2"/>
            <w:vAlign w:val="center"/>
          </w:tcPr>
          <w:p w14:paraId="1D048A28">
            <w:pPr>
              <w:jc w:val="center"/>
              <w:rPr>
                <w:rFonts w:hint="eastAsia" w:ascii="方正仿宋_GBK" w:hAnsi="方正仿宋_GBK" w:eastAsia="方正仿宋_GBK" w:cs="方正仿宋_GBK"/>
                <w:color w:val="auto"/>
                <w:sz w:val="24"/>
                <w:szCs w:val="24"/>
              </w:rPr>
            </w:pPr>
          </w:p>
        </w:tc>
        <w:tc>
          <w:tcPr>
            <w:tcW w:w="1500" w:type="dxa"/>
            <w:vAlign w:val="center"/>
          </w:tcPr>
          <w:p w14:paraId="25155607">
            <w:pPr>
              <w:jc w:val="center"/>
              <w:rPr>
                <w:rFonts w:hint="eastAsia" w:ascii="方正仿宋_GBK" w:hAnsi="方正仿宋_GBK" w:eastAsia="方正仿宋_GBK" w:cs="方正仿宋_GBK"/>
                <w:color w:val="auto"/>
                <w:sz w:val="24"/>
                <w:szCs w:val="24"/>
              </w:rPr>
            </w:pPr>
          </w:p>
        </w:tc>
        <w:tc>
          <w:tcPr>
            <w:tcW w:w="1485" w:type="dxa"/>
            <w:vAlign w:val="center"/>
          </w:tcPr>
          <w:p w14:paraId="32BFD3E0">
            <w:pPr>
              <w:jc w:val="center"/>
              <w:rPr>
                <w:rFonts w:hint="eastAsia" w:ascii="方正仿宋_GBK" w:hAnsi="方正仿宋_GBK" w:eastAsia="方正仿宋_GBK" w:cs="方正仿宋_GBK"/>
                <w:color w:val="auto"/>
                <w:sz w:val="24"/>
                <w:szCs w:val="24"/>
              </w:rPr>
            </w:pPr>
          </w:p>
        </w:tc>
      </w:tr>
      <w:tr w14:paraId="3D5DE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vAlign w:val="center"/>
          </w:tcPr>
          <w:p w14:paraId="0E88FE79">
            <w:pPr>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b/>
                <w:bCs/>
                <w:color w:val="auto"/>
                <w:sz w:val="24"/>
                <w:szCs w:val="24"/>
              </w:rPr>
              <w:t>说明：同一职务有多人担任（如主要技术人员），应分行填写。</w:t>
            </w:r>
          </w:p>
        </w:tc>
      </w:tr>
      <w:tr w14:paraId="20047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vAlign w:val="center"/>
          </w:tcPr>
          <w:p w14:paraId="40F1F459">
            <w:pPr>
              <w:jc w:val="center"/>
              <w:rPr>
                <w:rFonts w:hint="eastAsia" w:ascii="方正仿宋_GBK" w:hAnsi="方正仿宋_GBK" w:eastAsia="方正仿宋_GBK" w:cs="方正仿宋_GBK"/>
                <w:b/>
                <w:bCs/>
                <w:color w:val="auto"/>
                <w:sz w:val="24"/>
                <w:szCs w:val="24"/>
              </w:rPr>
            </w:pPr>
            <w:r>
              <w:rPr>
                <w:rFonts w:hint="eastAsia" w:ascii="方正仿宋_GBK" w:hAnsi="方正仿宋_GBK" w:eastAsia="方正仿宋_GBK" w:cs="方正仿宋_GBK"/>
                <w:b/>
                <w:bCs/>
                <w:color w:val="auto"/>
                <w:sz w:val="24"/>
                <w:szCs w:val="24"/>
              </w:rPr>
              <w:t>响应供应商关联关系情况</w:t>
            </w:r>
          </w:p>
        </w:tc>
      </w:tr>
      <w:tr w14:paraId="1222E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vAlign w:val="center"/>
          </w:tcPr>
          <w:p w14:paraId="79DBF793">
            <w:pPr>
              <w:jc w:val="center"/>
              <w:rPr>
                <w:rFonts w:hint="eastAsia" w:ascii="方正仿宋_GBK" w:hAnsi="方正仿宋_GBK" w:eastAsia="方正仿宋_GBK" w:cs="方正仿宋_GBK"/>
                <w:color w:val="auto"/>
                <w:sz w:val="24"/>
                <w:szCs w:val="24"/>
                <w:lang w:bidi="ar"/>
              </w:rPr>
            </w:pPr>
            <w:r>
              <w:rPr>
                <w:rFonts w:hint="eastAsia" w:ascii="方正仿宋_GBK" w:hAnsi="方正仿宋_GBK" w:eastAsia="方正仿宋_GBK" w:cs="方正仿宋_GBK"/>
                <w:color w:val="auto"/>
                <w:sz w:val="24"/>
                <w:szCs w:val="24"/>
                <w:lang w:bidi="ar"/>
              </w:rPr>
              <w:t>序号</w:t>
            </w:r>
          </w:p>
        </w:tc>
        <w:tc>
          <w:tcPr>
            <w:tcW w:w="2377" w:type="dxa"/>
            <w:gridSpan w:val="2"/>
            <w:tcBorders>
              <w:bottom w:val="single" w:color="auto" w:sz="4" w:space="0"/>
            </w:tcBorders>
            <w:vAlign w:val="center"/>
          </w:tcPr>
          <w:p w14:paraId="632F98B3">
            <w:pPr>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关联关系类型</w:t>
            </w:r>
          </w:p>
        </w:tc>
        <w:tc>
          <w:tcPr>
            <w:tcW w:w="1643" w:type="dxa"/>
            <w:gridSpan w:val="2"/>
            <w:tcBorders>
              <w:bottom w:val="single" w:color="auto" w:sz="4" w:space="0"/>
            </w:tcBorders>
            <w:vAlign w:val="center"/>
          </w:tcPr>
          <w:p w14:paraId="0DD35617">
            <w:pPr>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关联主体名称</w:t>
            </w:r>
          </w:p>
        </w:tc>
        <w:tc>
          <w:tcPr>
            <w:tcW w:w="4185" w:type="dxa"/>
            <w:gridSpan w:val="3"/>
            <w:tcBorders>
              <w:bottom w:val="single" w:color="auto" w:sz="4" w:space="0"/>
            </w:tcBorders>
            <w:vAlign w:val="center"/>
          </w:tcPr>
          <w:p w14:paraId="654CB646">
            <w:pPr>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备注</w:t>
            </w:r>
          </w:p>
        </w:tc>
      </w:tr>
      <w:tr w14:paraId="2803E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14:paraId="75EB0A6F">
            <w:pPr>
              <w:jc w:val="center"/>
              <w:rPr>
                <w:rFonts w:hint="eastAsia" w:ascii="方正仿宋_GBK" w:hAnsi="方正仿宋_GBK" w:eastAsia="方正仿宋_GBK" w:cs="方正仿宋_GBK"/>
                <w:color w:val="auto"/>
                <w:sz w:val="24"/>
                <w:szCs w:val="24"/>
                <w:lang w:bidi="ar"/>
              </w:rPr>
            </w:pPr>
            <w:r>
              <w:rPr>
                <w:rFonts w:hint="eastAsia" w:ascii="方正仿宋_GBK" w:hAnsi="方正仿宋_GBK" w:eastAsia="方正仿宋_GBK" w:cs="方正仿宋_GBK"/>
                <w:color w:val="auto"/>
                <w:sz w:val="24"/>
                <w:szCs w:val="24"/>
                <w:lang w:bidi="ar"/>
              </w:rPr>
              <w:t>1</w:t>
            </w:r>
          </w:p>
        </w:tc>
        <w:tc>
          <w:tcPr>
            <w:tcW w:w="2377" w:type="dxa"/>
            <w:gridSpan w:val="2"/>
            <w:tcBorders>
              <w:top w:val="single" w:color="auto" w:sz="4" w:space="0"/>
              <w:left w:val="single" w:color="auto" w:sz="4" w:space="0"/>
              <w:bottom w:val="single" w:color="auto" w:sz="4" w:space="0"/>
              <w:right w:val="single" w:color="auto" w:sz="4" w:space="0"/>
            </w:tcBorders>
            <w:vAlign w:val="center"/>
          </w:tcPr>
          <w:p w14:paraId="52FD8958">
            <w:pPr>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控股股东</w:t>
            </w:r>
          </w:p>
        </w:tc>
        <w:tc>
          <w:tcPr>
            <w:tcW w:w="1643" w:type="dxa"/>
            <w:gridSpan w:val="2"/>
            <w:tcBorders>
              <w:top w:val="single" w:color="auto" w:sz="4" w:space="0"/>
              <w:left w:val="single" w:color="auto" w:sz="4" w:space="0"/>
              <w:bottom w:val="single" w:color="auto" w:sz="4" w:space="0"/>
              <w:right w:val="single" w:color="auto" w:sz="4" w:space="0"/>
            </w:tcBorders>
            <w:vAlign w:val="center"/>
          </w:tcPr>
          <w:p w14:paraId="18374E12">
            <w:pPr>
              <w:jc w:val="center"/>
              <w:rPr>
                <w:rFonts w:hint="eastAsia" w:ascii="方正仿宋_GBK" w:hAnsi="方正仿宋_GBK" w:eastAsia="方正仿宋_GBK" w:cs="方正仿宋_GBK"/>
                <w:color w:val="auto"/>
                <w:sz w:val="24"/>
                <w:szCs w:val="24"/>
              </w:rPr>
            </w:pPr>
          </w:p>
        </w:tc>
        <w:tc>
          <w:tcPr>
            <w:tcW w:w="4185" w:type="dxa"/>
            <w:gridSpan w:val="3"/>
            <w:tcBorders>
              <w:top w:val="single" w:color="auto" w:sz="4" w:space="0"/>
              <w:left w:val="single" w:color="auto" w:sz="4" w:space="0"/>
              <w:bottom w:val="single" w:color="auto" w:sz="4" w:space="0"/>
              <w:right w:val="single" w:color="auto" w:sz="4" w:space="0"/>
            </w:tcBorders>
            <w:vAlign w:val="center"/>
          </w:tcPr>
          <w:p w14:paraId="48EA9D9A">
            <w:pPr>
              <w:snapToGrid w:val="0"/>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18"/>
                <w:szCs w:val="18"/>
              </w:rPr>
              <w:t>指出资额（或持有股份）占响应供应商资本总额（或股本总额）50%以上的股东，以及出资额（或持有股份）的比例虽然不足50%，但依其出资额（或持有股份）所享有的表决权已足以对响应供应商股东会（或股东大会）的决议产生重要影响的股东。</w:t>
            </w:r>
          </w:p>
        </w:tc>
      </w:tr>
      <w:tr w14:paraId="18A7C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14:paraId="40CAC6E4">
            <w:pPr>
              <w:jc w:val="center"/>
              <w:rPr>
                <w:rFonts w:hint="eastAsia" w:ascii="方正仿宋_GBK" w:hAnsi="方正仿宋_GBK" w:eastAsia="方正仿宋_GBK" w:cs="方正仿宋_GBK"/>
                <w:color w:val="auto"/>
                <w:sz w:val="24"/>
                <w:szCs w:val="24"/>
                <w:lang w:bidi="ar"/>
              </w:rPr>
            </w:pPr>
            <w:r>
              <w:rPr>
                <w:rFonts w:hint="eastAsia" w:ascii="方正仿宋_GBK" w:hAnsi="方正仿宋_GBK" w:eastAsia="方正仿宋_GBK" w:cs="方正仿宋_GBK"/>
                <w:color w:val="auto"/>
                <w:sz w:val="24"/>
                <w:szCs w:val="24"/>
                <w:lang w:bidi="ar"/>
              </w:rPr>
              <w:t>2</w:t>
            </w:r>
          </w:p>
        </w:tc>
        <w:tc>
          <w:tcPr>
            <w:tcW w:w="2377" w:type="dxa"/>
            <w:gridSpan w:val="2"/>
            <w:tcBorders>
              <w:top w:val="single" w:color="auto" w:sz="4" w:space="0"/>
              <w:left w:val="single" w:color="auto" w:sz="4" w:space="0"/>
              <w:bottom w:val="single" w:color="auto" w:sz="4" w:space="0"/>
              <w:right w:val="single" w:color="auto" w:sz="4" w:space="0"/>
            </w:tcBorders>
            <w:vAlign w:val="center"/>
          </w:tcPr>
          <w:p w14:paraId="039048AE">
            <w:pPr>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管理关系</w:t>
            </w:r>
          </w:p>
        </w:tc>
        <w:tc>
          <w:tcPr>
            <w:tcW w:w="1643" w:type="dxa"/>
            <w:gridSpan w:val="2"/>
            <w:tcBorders>
              <w:top w:val="single" w:color="auto" w:sz="4" w:space="0"/>
              <w:left w:val="single" w:color="auto" w:sz="4" w:space="0"/>
              <w:bottom w:val="single" w:color="auto" w:sz="4" w:space="0"/>
              <w:right w:val="single" w:color="auto" w:sz="4" w:space="0"/>
            </w:tcBorders>
            <w:vAlign w:val="center"/>
          </w:tcPr>
          <w:p w14:paraId="642C69B0">
            <w:pPr>
              <w:jc w:val="center"/>
              <w:rPr>
                <w:rFonts w:hint="eastAsia" w:ascii="方正仿宋_GBK" w:hAnsi="方正仿宋_GBK" w:eastAsia="方正仿宋_GBK" w:cs="方正仿宋_GBK"/>
                <w:color w:val="auto"/>
                <w:sz w:val="24"/>
                <w:szCs w:val="24"/>
              </w:rPr>
            </w:pPr>
          </w:p>
        </w:tc>
        <w:tc>
          <w:tcPr>
            <w:tcW w:w="4185" w:type="dxa"/>
            <w:gridSpan w:val="3"/>
            <w:tcBorders>
              <w:top w:val="single" w:color="auto" w:sz="4" w:space="0"/>
              <w:left w:val="single" w:color="auto" w:sz="4" w:space="0"/>
              <w:bottom w:val="single" w:color="auto" w:sz="4" w:space="0"/>
              <w:right w:val="single" w:color="auto" w:sz="4" w:space="0"/>
            </w:tcBorders>
            <w:vAlign w:val="center"/>
          </w:tcPr>
          <w:p w14:paraId="4F3E9FB1">
            <w:pPr>
              <w:snapToGrid w:val="0"/>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指对响应供应商不具有出资持股关系，但对其存在管理关系的主体。</w:t>
            </w:r>
          </w:p>
        </w:tc>
      </w:tr>
      <w:tr w14:paraId="05192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tcBorders>
              <w:top w:val="single" w:color="auto" w:sz="4" w:space="0"/>
              <w:left w:val="single" w:color="auto" w:sz="4" w:space="0"/>
              <w:bottom w:val="single" w:color="auto" w:sz="4" w:space="0"/>
              <w:right w:val="single" w:color="auto" w:sz="4" w:space="0"/>
            </w:tcBorders>
            <w:vAlign w:val="center"/>
          </w:tcPr>
          <w:p w14:paraId="2C15BE8E">
            <w:pPr>
              <w:snapToGrid w:val="0"/>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b/>
                <w:bCs/>
                <w:color w:val="auto"/>
                <w:sz w:val="24"/>
                <w:szCs w:val="24"/>
              </w:rPr>
              <w:t>说明：同一关联关系类型有多个主体的，应分行填写。</w:t>
            </w:r>
          </w:p>
        </w:tc>
      </w:tr>
    </w:tbl>
    <w:p w14:paraId="7BE92067">
      <w:pPr>
        <w:pStyle w:val="2"/>
        <w:spacing w:line="276" w:lineRule="auto"/>
        <w:jc w:val="left"/>
        <w:outlineLvl w:val="1"/>
        <w:rPr>
          <w:rFonts w:hint="eastAsia" w:ascii="宋体" w:hAnsi="宋体" w:eastAsia="宋体"/>
          <w:color w:val="auto"/>
          <w:sz w:val="21"/>
          <w:szCs w:val="21"/>
        </w:rPr>
      </w:pPr>
    </w:p>
    <w:p w14:paraId="72455310">
      <w:pPr>
        <w:pStyle w:val="2"/>
        <w:spacing w:line="276" w:lineRule="auto"/>
        <w:jc w:val="left"/>
        <w:outlineLvl w:val="1"/>
        <w:rPr>
          <w:rFonts w:hint="eastAsia" w:ascii="宋体" w:hAnsi="宋体" w:eastAsia="宋体"/>
          <w:color w:val="auto"/>
          <w:sz w:val="21"/>
          <w:szCs w:val="21"/>
        </w:rPr>
      </w:pPr>
    </w:p>
    <w:p w14:paraId="689090C2">
      <w:pPr>
        <w:pStyle w:val="2"/>
        <w:spacing w:line="276" w:lineRule="auto"/>
        <w:jc w:val="left"/>
        <w:outlineLvl w:val="1"/>
        <w:rPr>
          <w:rFonts w:hint="eastAsia" w:ascii="宋体" w:hAnsi="宋体" w:eastAsia="宋体"/>
          <w:color w:val="auto"/>
          <w:sz w:val="21"/>
          <w:szCs w:val="21"/>
        </w:rPr>
      </w:pPr>
    </w:p>
    <w:p w14:paraId="0D0E5DBD">
      <w:pPr>
        <w:pStyle w:val="2"/>
        <w:spacing w:line="276" w:lineRule="auto"/>
        <w:jc w:val="left"/>
        <w:outlineLvl w:val="1"/>
        <w:rPr>
          <w:rFonts w:hint="eastAsia" w:ascii="宋体" w:hAnsi="宋体" w:eastAsia="宋体"/>
          <w:color w:val="auto"/>
          <w:sz w:val="21"/>
          <w:szCs w:val="21"/>
        </w:rPr>
      </w:pPr>
    </w:p>
    <w:p w14:paraId="7B2EC76A">
      <w:pPr>
        <w:pStyle w:val="2"/>
        <w:spacing w:line="276" w:lineRule="auto"/>
        <w:jc w:val="left"/>
        <w:outlineLvl w:val="1"/>
        <w:rPr>
          <w:rFonts w:hint="eastAsia" w:ascii="宋体" w:hAnsi="宋体" w:eastAsia="宋体"/>
          <w:color w:val="auto"/>
          <w:sz w:val="21"/>
          <w:szCs w:val="21"/>
        </w:rPr>
      </w:pPr>
    </w:p>
    <w:p w14:paraId="4CA530B5">
      <w:pPr>
        <w:pStyle w:val="2"/>
        <w:spacing w:line="276" w:lineRule="auto"/>
        <w:jc w:val="left"/>
        <w:outlineLvl w:val="1"/>
        <w:rPr>
          <w:rFonts w:hint="eastAsia" w:ascii="宋体" w:hAnsi="宋体" w:eastAsia="宋体"/>
          <w:color w:val="auto"/>
          <w:sz w:val="21"/>
          <w:szCs w:val="21"/>
        </w:rPr>
      </w:pPr>
    </w:p>
    <w:p w14:paraId="784A6BB0">
      <w:pPr>
        <w:pStyle w:val="2"/>
        <w:spacing w:line="276" w:lineRule="auto"/>
        <w:jc w:val="left"/>
        <w:outlineLvl w:val="1"/>
        <w:rPr>
          <w:rFonts w:hint="eastAsia" w:ascii="宋体" w:hAnsi="宋体" w:eastAsia="宋体"/>
          <w:color w:val="auto"/>
          <w:sz w:val="21"/>
          <w:szCs w:val="21"/>
        </w:rPr>
      </w:pPr>
    </w:p>
    <w:p w14:paraId="5A123A45">
      <w:pPr>
        <w:pStyle w:val="2"/>
        <w:spacing w:line="276" w:lineRule="auto"/>
        <w:jc w:val="left"/>
        <w:outlineLvl w:val="1"/>
        <w:rPr>
          <w:rFonts w:hint="eastAsia" w:ascii="宋体" w:hAnsi="宋体" w:eastAsia="宋体"/>
          <w:color w:val="auto"/>
          <w:sz w:val="21"/>
          <w:szCs w:val="21"/>
        </w:rPr>
      </w:pPr>
    </w:p>
    <w:p w14:paraId="0852424F">
      <w:pPr>
        <w:pStyle w:val="2"/>
        <w:spacing w:line="276" w:lineRule="auto"/>
        <w:jc w:val="left"/>
        <w:outlineLvl w:val="1"/>
        <w:rPr>
          <w:rFonts w:hint="eastAsia" w:ascii="宋体" w:hAnsi="宋体" w:eastAsia="宋体"/>
          <w:color w:val="auto"/>
          <w:sz w:val="21"/>
          <w:szCs w:val="21"/>
        </w:rPr>
      </w:pPr>
    </w:p>
    <w:p w14:paraId="56C690FD">
      <w:pPr>
        <w:widowControl/>
        <w:jc w:val="center"/>
        <w:outlineLvl w:val="1"/>
        <w:rPr>
          <w:rFonts w:hint="eastAsia" w:asciiTheme="majorEastAsia" w:hAnsiTheme="majorEastAsia" w:eastAsiaTheme="majorEastAsia"/>
          <w:color w:val="auto"/>
          <w:sz w:val="32"/>
          <w:szCs w:val="32"/>
        </w:rPr>
      </w:pPr>
      <w:r>
        <w:rPr>
          <w:rFonts w:hint="eastAsia" w:asciiTheme="majorEastAsia" w:hAnsiTheme="majorEastAsia" w:eastAsiaTheme="majorEastAsia"/>
          <w:b/>
          <w:bCs/>
          <w:color w:val="auto"/>
          <w:sz w:val="32"/>
          <w:szCs w:val="32"/>
        </w:rPr>
        <w:t>五、承诺函</w:t>
      </w:r>
    </w:p>
    <w:p w14:paraId="1AB50DE8">
      <w:pPr>
        <w:pStyle w:val="2"/>
        <w:spacing w:line="276" w:lineRule="auto"/>
        <w:jc w:val="left"/>
        <w:outlineLvl w:val="1"/>
        <w:rPr>
          <w:rFonts w:hint="eastAsia" w:ascii="宋体" w:hAnsi="宋体" w:eastAsia="宋体"/>
          <w:color w:val="auto"/>
          <w:sz w:val="21"/>
          <w:szCs w:val="21"/>
        </w:rPr>
      </w:pPr>
    </w:p>
    <w:p w14:paraId="2EE34883">
      <w:pPr>
        <w:pStyle w:val="2"/>
        <w:spacing w:line="276" w:lineRule="auto"/>
        <w:jc w:val="left"/>
        <w:outlineLvl w:val="1"/>
        <w:rPr>
          <w:rFonts w:hint="eastAsia" w:ascii="宋体" w:hAnsi="宋体" w:eastAsia="宋体"/>
          <w:color w:val="auto"/>
          <w:sz w:val="21"/>
          <w:szCs w:val="21"/>
        </w:rPr>
      </w:pPr>
    </w:p>
    <w:p w14:paraId="60618B27">
      <w:pPr>
        <w:tabs>
          <w:tab w:val="left" w:pos="1483"/>
        </w:tabs>
        <w:spacing w:line="276" w:lineRule="auto"/>
        <w:jc w:val="center"/>
        <w:rPr>
          <w:rFonts w:hint="eastAsia" w:ascii="宋体" w:hAnsi="宋体"/>
          <w:b/>
          <w:bCs/>
          <w:color w:val="auto"/>
          <w:sz w:val="32"/>
          <w:szCs w:val="32"/>
        </w:rPr>
      </w:pPr>
      <w:r>
        <w:rPr>
          <w:rFonts w:hint="eastAsia" w:ascii="宋体" w:hAnsi="宋体"/>
          <w:b/>
          <w:bCs/>
          <w:color w:val="auto"/>
          <w:sz w:val="32"/>
          <w:szCs w:val="32"/>
        </w:rPr>
        <w:t>承 诺 函</w:t>
      </w:r>
    </w:p>
    <w:p w14:paraId="19242E89">
      <w:pPr>
        <w:spacing w:line="360" w:lineRule="auto"/>
        <w:rPr>
          <w:rFonts w:hint="eastAsia" w:ascii="宋体" w:hAnsi="宋体"/>
          <w:color w:val="auto"/>
        </w:rPr>
      </w:pPr>
      <w:r>
        <w:rPr>
          <w:rFonts w:hint="eastAsia" w:ascii="宋体" w:hAnsi="宋体"/>
          <w:color w:val="auto"/>
        </w:rPr>
        <w:t>致：</w:t>
      </w:r>
      <w:r>
        <w:rPr>
          <w:rFonts w:hint="eastAsia" w:ascii="宋体" w:hAnsi="宋体"/>
          <w:color w:val="auto"/>
          <w:u w:val="single"/>
        </w:rPr>
        <w:t>深圳市南山区慢性病防治院</w:t>
      </w:r>
    </w:p>
    <w:p w14:paraId="1C1A0FAB">
      <w:pPr>
        <w:spacing w:line="360" w:lineRule="auto"/>
        <w:ind w:right="-815" w:firstLine="420" w:firstLineChars="200"/>
        <w:rPr>
          <w:rFonts w:hint="eastAsia" w:ascii="宋体" w:hAnsi="宋体"/>
          <w:color w:val="auto"/>
        </w:rPr>
      </w:pPr>
      <w:r>
        <w:rPr>
          <w:rFonts w:hint="eastAsia" w:ascii="宋体" w:hAnsi="宋体"/>
          <w:color w:val="auto"/>
        </w:rPr>
        <w:t>我公司承诺：</w:t>
      </w:r>
    </w:p>
    <w:p w14:paraId="2ED7DB0E">
      <w:pPr>
        <w:spacing w:line="360" w:lineRule="auto"/>
        <w:ind w:firstLine="420" w:firstLineChars="200"/>
        <w:rPr>
          <w:rFonts w:hint="eastAsia" w:ascii="宋体" w:hAnsi="宋体"/>
          <w:color w:val="auto"/>
        </w:rPr>
      </w:pPr>
      <w:r>
        <w:rPr>
          <w:rFonts w:hint="eastAsia" w:ascii="宋体" w:hAnsi="宋体"/>
          <w:color w:val="auto"/>
        </w:rPr>
        <w:t>1.我公司依法缴纳税收和社会保障资金。</w:t>
      </w:r>
    </w:p>
    <w:p w14:paraId="29FB69F3">
      <w:pPr>
        <w:spacing w:line="360" w:lineRule="auto"/>
        <w:ind w:firstLine="420" w:firstLineChars="200"/>
        <w:rPr>
          <w:rFonts w:hint="eastAsia" w:ascii="宋体" w:hAnsi="宋体"/>
          <w:color w:val="auto"/>
        </w:rPr>
      </w:pPr>
      <w:r>
        <w:rPr>
          <w:rFonts w:hint="eastAsia" w:ascii="宋体" w:hAnsi="宋体"/>
          <w:color w:val="auto"/>
        </w:rPr>
        <w:t>2.我公司具备合同所必需的设备和专业技术能力。</w:t>
      </w:r>
    </w:p>
    <w:p w14:paraId="2D1C5C28">
      <w:pPr>
        <w:spacing w:line="360" w:lineRule="auto"/>
        <w:ind w:firstLine="315" w:firstLineChars="150"/>
        <w:rPr>
          <w:rFonts w:hint="eastAsia" w:ascii="宋体" w:hAnsi="宋体"/>
          <w:color w:val="auto"/>
        </w:rPr>
      </w:pPr>
      <w:r>
        <w:rPr>
          <w:rFonts w:hint="eastAsia" w:ascii="宋体" w:hAnsi="宋体"/>
          <w:color w:val="auto"/>
        </w:rPr>
        <w:t xml:space="preserve"> 3. 我公司承诺在参与本项目采购前三年内，在经营活动中没有重大违法记录，以及参与本项目政府采购活动时不存在被有关部门禁止参与政府采购活动且在有效期内的情况。</w:t>
      </w:r>
    </w:p>
    <w:p w14:paraId="34082BF2">
      <w:pPr>
        <w:spacing w:line="360" w:lineRule="auto"/>
        <w:ind w:firstLine="420" w:firstLineChars="200"/>
        <w:rPr>
          <w:rFonts w:hint="eastAsia" w:ascii="宋体" w:hAnsi="宋体"/>
          <w:color w:val="auto"/>
        </w:rPr>
      </w:pPr>
      <w:r>
        <w:rPr>
          <w:rFonts w:hint="eastAsia" w:ascii="宋体" w:hAnsi="宋体"/>
          <w:color w:val="auto"/>
        </w:rPr>
        <w:t>4.我公司对本项目所提供的货物、工程或服务未侵犯知识产权。</w:t>
      </w:r>
    </w:p>
    <w:p w14:paraId="388AAC58">
      <w:pPr>
        <w:spacing w:line="360" w:lineRule="auto"/>
        <w:ind w:firstLine="420" w:firstLineChars="200"/>
        <w:rPr>
          <w:rFonts w:hint="eastAsia" w:ascii="宋体" w:hAnsi="宋体"/>
          <w:color w:val="auto"/>
        </w:rPr>
      </w:pPr>
      <w:r>
        <w:rPr>
          <w:rFonts w:hint="eastAsia" w:ascii="宋体" w:hAnsi="宋体"/>
          <w:color w:val="auto"/>
        </w:rPr>
        <w:t>5.如我公司在文件中提供了专利证书的，我公司保证所供对应产品具有该项专利。</w:t>
      </w:r>
    </w:p>
    <w:p w14:paraId="3B02861C">
      <w:pPr>
        <w:spacing w:line="360" w:lineRule="auto"/>
        <w:ind w:firstLine="420" w:firstLineChars="200"/>
        <w:rPr>
          <w:rFonts w:hint="eastAsia" w:ascii="宋体" w:hAnsi="宋体"/>
          <w:color w:val="auto"/>
        </w:rPr>
      </w:pPr>
      <w:r>
        <w:rPr>
          <w:rFonts w:hint="eastAsia" w:ascii="宋体" w:hAnsi="宋体"/>
          <w:color w:val="auto"/>
        </w:rPr>
        <w:t>6.我公司保证采购人拥有所投产品完整的所有权，不以保护知识产权或技术保密的名义对所有权和使用权进行任何限制。</w:t>
      </w:r>
    </w:p>
    <w:p w14:paraId="6ADFA75A">
      <w:pPr>
        <w:spacing w:line="360" w:lineRule="auto"/>
        <w:ind w:firstLine="420" w:firstLineChars="200"/>
        <w:rPr>
          <w:rFonts w:hint="eastAsia" w:ascii="宋体" w:hAnsi="宋体"/>
          <w:color w:val="auto"/>
        </w:rPr>
      </w:pPr>
      <w:r>
        <w:rPr>
          <w:rFonts w:hint="eastAsia" w:ascii="宋体" w:hAnsi="宋体"/>
          <w:color w:val="auto"/>
        </w:rPr>
        <w:t>7.我公司参与该项目报价，严格遵守政府采购相关法律，做到诚实，不造假。我公司已清楚，如违反上述要求，所报价项目将作废，被列入不良记录名单并在网上曝光，同时将被提请政府采购主管部门给予一定年限内禁止参与政府采购活动或其他处罚。</w:t>
      </w:r>
    </w:p>
    <w:p w14:paraId="212416F7">
      <w:pPr>
        <w:spacing w:line="360" w:lineRule="auto"/>
        <w:ind w:firstLine="420" w:firstLineChars="200"/>
        <w:rPr>
          <w:rFonts w:hint="eastAsia" w:ascii="宋体" w:hAnsi="宋体"/>
          <w:color w:val="auto"/>
        </w:rPr>
      </w:pPr>
      <w:r>
        <w:rPr>
          <w:rFonts w:hint="eastAsia" w:ascii="宋体" w:hAnsi="宋体"/>
          <w:color w:val="auto"/>
        </w:rPr>
        <w:t>8.如果我公司成交，将依照本项目要求、承诺及采购合同，做到诚信履约，不偷工减料，项目验收达到合格，力争优良。</w:t>
      </w:r>
    </w:p>
    <w:p w14:paraId="0091D189">
      <w:pPr>
        <w:spacing w:line="360" w:lineRule="auto"/>
        <w:ind w:firstLine="420" w:firstLineChars="200"/>
        <w:rPr>
          <w:rFonts w:hint="eastAsia" w:ascii="宋体" w:hAnsi="宋体"/>
          <w:color w:val="auto"/>
        </w:rPr>
      </w:pPr>
      <w:r>
        <w:rPr>
          <w:rFonts w:hint="eastAsia" w:ascii="宋体" w:hAnsi="宋体"/>
          <w:color w:val="auto"/>
        </w:rPr>
        <w:t>9. 我公司保证不违法分包转包。</w:t>
      </w:r>
    </w:p>
    <w:p w14:paraId="7520130A">
      <w:pPr>
        <w:autoSpaceDE w:val="0"/>
        <w:autoSpaceDN w:val="0"/>
        <w:adjustRightInd w:val="0"/>
        <w:spacing w:line="360" w:lineRule="auto"/>
        <w:ind w:firstLine="315" w:firstLineChars="150"/>
        <w:jc w:val="left"/>
        <w:rPr>
          <w:rFonts w:hint="eastAsia" w:ascii="宋体" w:hAnsi="宋体"/>
          <w:color w:val="auto"/>
        </w:rPr>
      </w:pPr>
      <w:r>
        <w:rPr>
          <w:rFonts w:hint="eastAsia" w:ascii="宋体" w:hAnsi="宋体"/>
          <w:color w:val="auto"/>
        </w:rPr>
        <w:t>10. 我公司已认真核实了全部资料，所有资料均为真实资料。我公司对全部文件资料的真实性负责，如被证实我公司的文件中存在虚假资料的，则视为我公司隐瞒真实情况、提供虚假资料，我公司愿意接受主管部门作出的行政处罚。</w:t>
      </w:r>
    </w:p>
    <w:p w14:paraId="6A874F28">
      <w:pPr>
        <w:spacing w:line="360" w:lineRule="auto"/>
        <w:ind w:firstLine="420" w:firstLineChars="200"/>
        <w:rPr>
          <w:rFonts w:hint="eastAsia" w:ascii="宋体" w:hAnsi="宋体"/>
          <w:color w:val="auto"/>
        </w:rPr>
      </w:pPr>
      <w:r>
        <w:rPr>
          <w:rFonts w:hint="eastAsia" w:ascii="宋体" w:hAnsi="宋体"/>
          <w:color w:val="auto"/>
        </w:rPr>
        <w:t>以上承诺，如有违反，愿依照国家相关法律处理，并承担由此给采购人带来的损失。</w:t>
      </w:r>
    </w:p>
    <w:p w14:paraId="63F4A5E5">
      <w:pPr>
        <w:spacing w:line="360" w:lineRule="auto"/>
        <w:ind w:firstLine="645"/>
        <w:rPr>
          <w:rFonts w:hint="eastAsia" w:ascii="宋体" w:hAnsi="宋体"/>
          <w:color w:val="auto"/>
        </w:rPr>
      </w:pPr>
      <w:r>
        <w:rPr>
          <w:rFonts w:hint="eastAsia" w:ascii="宋体" w:hAnsi="宋体"/>
          <w:color w:val="auto"/>
        </w:rPr>
        <w:t xml:space="preserve">                                                                   </w:t>
      </w:r>
    </w:p>
    <w:p w14:paraId="3B8D1F67">
      <w:pPr>
        <w:wordWrap w:val="0"/>
        <w:spacing w:line="360" w:lineRule="auto"/>
        <w:rPr>
          <w:rFonts w:hint="eastAsia" w:ascii="宋体" w:hAnsi="宋体"/>
          <w:color w:val="auto"/>
        </w:rPr>
      </w:pPr>
      <w:r>
        <w:rPr>
          <w:rFonts w:hint="eastAsia" w:ascii="宋体" w:hAnsi="宋体"/>
          <w:color w:val="auto"/>
        </w:rPr>
        <w:t xml:space="preserve"> 公司名称（盖章）：                        </w:t>
      </w:r>
    </w:p>
    <w:p w14:paraId="2FFA8AC2">
      <w:pPr>
        <w:spacing w:line="360" w:lineRule="auto"/>
        <w:ind w:firstLine="645"/>
        <w:jc w:val="right"/>
        <w:rPr>
          <w:rFonts w:hint="eastAsia" w:ascii="宋体" w:hAnsi="宋体"/>
          <w:b/>
          <w:color w:val="auto"/>
        </w:rPr>
      </w:pPr>
      <w:r>
        <w:rPr>
          <w:rFonts w:hint="eastAsia" w:ascii="宋体" w:hAnsi="宋体"/>
          <w:b/>
          <w:color w:val="auto"/>
        </w:rPr>
        <w:t xml:space="preserve">                                                                              </w:t>
      </w:r>
    </w:p>
    <w:p w14:paraId="39AA143C">
      <w:pPr>
        <w:spacing w:line="360" w:lineRule="auto"/>
        <w:ind w:firstLine="645"/>
        <w:jc w:val="right"/>
        <w:rPr>
          <w:rFonts w:hint="eastAsia" w:ascii="宋体" w:hAnsi="宋体"/>
          <w:color w:val="auto"/>
        </w:rPr>
      </w:pPr>
      <w:r>
        <w:rPr>
          <w:rFonts w:hint="eastAsia" w:ascii="宋体" w:hAnsi="宋体"/>
          <w:b/>
          <w:color w:val="auto"/>
        </w:rPr>
        <w:t xml:space="preserve">  </w:t>
      </w:r>
      <w:r>
        <w:rPr>
          <w:rFonts w:hint="eastAsia" w:ascii="宋体" w:hAnsi="宋体"/>
          <w:color w:val="auto"/>
        </w:rPr>
        <w:t>年   月    日</w:t>
      </w:r>
    </w:p>
    <w:p w14:paraId="64602A93">
      <w:pPr>
        <w:pStyle w:val="2"/>
        <w:jc w:val="center"/>
        <w:rPr>
          <w:rFonts w:hint="eastAsia" w:ascii="宋体" w:hAnsi="宋体"/>
          <w:color w:val="auto"/>
        </w:rPr>
      </w:pPr>
    </w:p>
    <w:p w14:paraId="0BDC7850">
      <w:pPr>
        <w:widowControl/>
        <w:jc w:val="center"/>
        <w:rPr>
          <w:rFonts w:hint="eastAsia" w:asciiTheme="majorEastAsia" w:hAnsiTheme="majorEastAsia" w:eastAsiaTheme="majorEastAsia"/>
          <w:b/>
          <w:bCs/>
          <w:color w:val="auto"/>
          <w:sz w:val="32"/>
          <w:szCs w:val="32"/>
        </w:rPr>
      </w:pPr>
      <w:r>
        <w:rPr>
          <w:rFonts w:hint="eastAsia" w:asciiTheme="majorEastAsia" w:hAnsiTheme="majorEastAsia" w:eastAsiaTheme="majorEastAsia"/>
          <w:b/>
          <w:bCs/>
          <w:color w:val="auto"/>
          <w:sz w:val="32"/>
          <w:szCs w:val="32"/>
        </w:rPr>
        <w:t>六、资料递交</w:t>
      </w:r>
    </w:p>
    <w:p w14:paraId="24004146">
      <w:pPr>
        <w:widowControl/>
        <w:spacing w:line="360" w:lineRule="auto"/>
        <w:jc w:val="left"/>
        <w:rPr>
          <w:rFonts w:hint="eastAsia" w:ascii="宋体" w:hAnsi="宋体"/>
          <w:bCs/>
          <w:color w:val="auto"/>
          <w:u w:val="none"/>
        </w:rPr>
      </w:pPr>
      <w:r>
        <w:rPr>
          <w:rFonts w:hint="eastAsia" w:ascii="宋体" w:hAnsi="宋体"/>
          <w:bCs/>
          <w:color w:val="auto"/>
        </w:rPr>
        <w:t>1、递交内容：将询价项目要求资料、供应商资质（营业执照、法定代表人证明书及身份证、法人授权委托证明书及身份证</w:t>
      </w:r>
      <w:r>
        <w:rPr>
          <w:rFonts w:hint="eastAsia" w:ascii="宋体" w:hAnsi="宋体"/>
          <w:bCs/>
          <w:color w:val="auto"/>
          <w:lang w:eastAsia="zh-CN"/>
        </w:rPr>
        <w:t>）、《检验检测机构资质认定证书》</w:t>
      </w:r>
      <w:r>
        <w:rPr>
          <w:rFonts w:hint="eastAsia" w:ascii="宋体" w:hAnsi="宋体"/>
          <w:bCs/>
          <w:color w:val="auto"/>
        </w:rPr>
        <w:t>、报价表、承诺函、供应商基本情况表</w:t>
      </w:r>
      <w:r>
        <w:rPr>
          <w:rFonts w:hint="eastAsia" w:ascii="宋体" w:hAnsi="宋体"/>
          <w:bCs/>
          <w:color w:val="auto"/>
          <w:u w:val="none"/>
        </w:rPr>
        <w:t>（以上所有资料均需加盖公章）扫描版发送至邮箱，未按要求提供或提供资料不清晰导致无法判断，如资料不全、不清晰或审核不合格者，视为无效报名。</w:t>
      </w:r>
    </w:p>
    <w:p w14:paraId="38D4D45A">
      <w:pPr>
        <w:widowControl/>
        <w:spacing w:line="360" w:lineRule="auto"/>
        <w:jc w:val="left"/>
        <w:rPr>
          <w:rFonts w:hint="eastAsia" w:ascii="宋体" w:hAnsi="宋体"/>
          <w:bCs/>
          <w:color w:val="auto"/>
          <w:u w:val="none"/>
        </w:rPr>
      </w:pPr>
      <w:r>
        <w:rPr>
          <w:rFonts w:hint="eastAsia" w:ascii="宋体" w:hAnsi="宋体"/>
          <w:bCs/>
          <w:color w:val="auto"/>
          <w:u w:val="none"/>
        </w:rPr>
        <w:t xml:space="preserve">2、送达截止时间：  </w:t>
      </w:r>
      <w:r>
        <w:rPr>
          <w:rFonts w:hint="eastAsia" w:ascii="宋体" w:hAnsi="宋体"/>
          <w:bCs/>
          <w:color w:val="auto"/>
          <w:u w:val="none"/>
          <w:lang w:val="en-US" w:eastAsia="zh-CN"/>
        </w:rPr>
        <w:t>2025</w:t>
      </w:r>
      <w:r>
        <w:rPr>
          <w:rFonts w:hint="eastAsia" w:ascii="宋体" w:hAnsi="宋体"/>
          <w:bCs/>
          <w:color w:val="auto"/>
          <w:u w:val="none"/>
        </w:rPr>
        <w:t xml:space="preserve">  年  </w:t>
      </w:r>
      <w:r>
        <w:rPr>
          <w:rFonts w:hint="eastAsia" w:ascii="宋体" w:hAnsi="宋体"/>
          <w:bCs/>
          <w:color w:val="auto"/>
          <w:u w:val="none"/>
          <w:lang w:val="en-US" w:eastAsia="zh-CN"/>
        </w:rPr>
        <w:t>6</w:t>
      </w:r>
      <w:r>
        <w:rPr>
          <w:rFonts w:hint="eastAsia" w:ascii="宋体" w:hAnsi="宋体"/>
          <w:bCs/>
          <w:color w:val="auto"/>
          <w:u w:val="none"/>
        </w:rPr>
        <w:t xml:space="preserve">  月  </w:t>
      </w:r>
      <w:r>
        <w:rPr>
          <w:rFonts w:hint="eastAsia" w:ascii="宋体" w:hAnsi="宋体"/>
          <w:bCs/>
          <w:color w:val="auto"/>
          <w:u w:val="none"/>
          <w:lang w:val="en-US" w:eastAsia="zh-CN"/>
        </w:rPr>
        <w:t>19</w:t>
      </w:r>
      <w:r>
        <w:rPr>
          <w:rFonts w:hint="eastAsia" w:ascii="宋体" w:hAnsi="宋体"/>
          <w:bCs/>
          <w:color w:val="auto"/>
          <w:u w:val="none"/>
        </w:rPr>
        <w:t xml:space="preserve">  日17:00前。</w:t>
      </w:r>
    </w:p>
    <w:p w14:paraId="23F50D35">
      <w:pPr>
        <w:widowControl/>
        <w:spacing w:line="360" w:lineRule="auto"/>
        <w:jc w:val="left"/>
        <w:rPr>
          <w:rFonts w:hint="eastAsia" w:ascii="宋体" w:hAnsi="宋体"/>
          <w:bCs/>
          <w:color w:val="auto"/>
          <w:u w:val="none"/>
        </w:rPr>
      </w:pPr>
      <w:r>
        <w:rPr>
          <w:rFonts w:hint="eastAsia" w:ascii="宋体" w:hAnsi="宋体"/>
          <w:bCs/>
          <w:color w:val="auto"/>
          <w:u w:val="none"/>
        </w:rPr>
        <w:t>3、投递邮箱：</w:t>
      </w:r>
      <w:r>
        <w:rPr>
          <w:color w:val="auto"/>
          <w:u w:val="none"/>
        </w:rPr>
        <w:fldChar w:fldCharType="begin"/>
      </w:r>
      <w:r>
        <w:rPr>
          <w:color w:val="auto"/>
          <w:u w:val="none"/>
        </w:rPr>
        <w:instrText xml:space="preserve"> HYPERLINK "mailto:nsmbzwk@126.com" </w:instrText>
      </w:r>
      <w:r>
        <w:rPr>
          <w:color w:val="auto"/>
          <w:u w:val="none"/>
        </w:rPr>
        <w:fldChar w:fldCharType="separate"/>
      </w:r>
      <w:r>
        <w:rPr>
          <w:rStyle w:val="17"/>
          <w:rFonts w:hint="eastAsia" w:ascii="宋体" w:hAnsi="宋体"/>
          <w:bCs/>
          <w:color w:val="auto"/>
          <w:u w:val="none"/>
        </w:rPr>
        <w:t>nsmbhqbz@126.com</w:t>
      </w:r>
      <w:r>
        <w:rPr>
          <w:rStyle w:val="17"/>
          <w:rFonts w:hint="eastAsia" w:ascii="宋体" w:hAnsi="宋体"/>
          <w:bCs/>
          <w:color w:val="auto"/>
          <w:u w:val="none"/>
        </w:rPr>
        <w:fldChar w:fldCharType="end"/>
      </w:r>
      <w:r>
        <w:rPr>
          <w:rFonts w:hint="eastAsia" w:ascii="宋体" w:hAnsi="宋体"/>
          <w:bCs/>
          <w:color w:val="auto"/>
          <w:u w:val="none"/>
        </w:rPr>
        <w:t xml:space="preserve">  （邮件主题命名格式“询价编号+项目名称+供应商名称”）</w:t>
      </w:r>
    </w:p>
    <w:p w14:paraId="44AE12A1">
      <w:pPr>
        <w:widowControl/>
        <w:spacing w:line="360" w:lineRule="auto"/>
        <w:jc w:val="left"/>
        <w:rPr>
          <w:rFonts w:hint="eastAsia" w:ascii="宋体" w:hAnsi="宋体"/>
          <w:bCs/>
          <w:color w:val="auto"/>
          <w:u w:val="none"/>
        </w:rPr>
      </w:pPr>
      <w:r>
        <w:rPr>
          <w:rFonts w:hint="eastAsia" w:ascii="宋体" w:hAnsi="宋体"/>
          <w:bCs/>
          <w:color w:val="auto"/>
          <w:u w:val="none"/>
        </w:rPr>
        <w:t>4、联系电话：0755-86210576  许老师</w:t>
      </w:r>
    </w:p>
    <w:p w14:paraId="650D7291">
      <w:pPr>
        <w:widowControl/>
        <w:jc w:val="left"/>
        <w:rPr>
          <w:rFonts w:hint="eastAsia" w:ascii="宋体" w:hAnsi="宋体"/>
          <w:b/>
          <w:bCs/>
          <w:color w:val="auto"/>
          <w:u w:val="none"/>
        </w:rPr>
      </w:pPr>
    </w:p>
    <w:p w14:paraId="4FF11AD6">
      <w:pPr>
        <w:widowControl/>
        <w:jc w:val="left"/>
        <w:rPr>
          <w:rFonts w:hint="eastAsia" w:ascii="宋体" w:hAnsi="宋体"/>
          <w:b/>
          <w:bCs/>
          <w:color w:val="auto"/>
          <w:u w:val="none"/>
        </w:rPr>
      </w:pPr>
    </w:p>
    <w:p w14:paraId="6F9F6EBD">
      <w:pPr>
        <w:widowControl/>
        <w:jc w:val="left"/>
        <w:rPr>
          <w:rFonts w:hint="eastAsia" w:ascii="宋体" w:hAnsi="宋体"/>
          <w:b/>
          <w:bCs/>
          <w:color w:val="auto"/>
          <w:u w:val="none"/>
        </w:rPr>
      </w:pPr>
    </w:p>
    <w:p w14:paraId="5268312F">
      <w:pPr>
        <w:widowControl/>
        <w:jc w:val="left"/>
        <w:rPr>
          <w:rFonts w:hint="eastAsia" w:ascii="宋体" w:hAnsi="宋体"/>
          <w:b/>
          <w:bCs/>
          <w:color w:val="auto"/>
          <w:u w:val="none"/>
        </w:rPr>
      </w:pPr>
    </w:p>
    <w:p w14:paraId="0233C0E7">
      <w:pPr>
        <w:widowControl/>
        <w:jc w:val="left"/>
        <w:rPr>
          <w:rFonts w:hint="eastAsia" w:ascii="宋体" w:hAnsi="宋体"/>
          <w:b/>
          <w:bCs/>
          <w:color w:val="auto"/>
          <w:u w:val="none"/>
        </w:rPr>
      </w:pPr>
      <w:r>
        <w:rPr>
          <w:rFonts w:ascii="宋体" w:hAnsi="宋体"/>
          <w:b/>
          <w:bCs/>
          <w:color w:val="auto"/>
          <w:u w:val="none"/>
        </w:rPr>
        <w:t xml:space="preserve">                                            </w:t>
      </w:r>
    </w:p>
    <w:p w14:paraId="167C15D1">
      <w:pPr>
        <w:widowControl/>
        <w:jc w:val="left"/>
        <w:rPr>
          <w:rFonts w:hint="eastAsia" w:ascii="宋体" w:hAnsi="宋体"/>
          <w:bCs/>
          <w:color w:val="auto"/>
          <w:u w:val="none"/>
        </w:rPr>
      </w:pPr>
    </w:p>
    <w:p w14:paraId="315DB9BD">
      <w:pPr>
        <w:widowControl/>
        <w:jc w:val="left"/>
        <w:rPr>
          <w:rFonts w:hint="eastAsia" w:ascii="宋体" w:hAnsi="宋体"/>
          <w:bCs/>
          <w:color w:val="auto"/>
          <w:u w:val="none"/>
        </w:rPr>
      </w:pPr>
      <w:r>
        <w:rPr>
          <w:rFonts w:hint="eastAsia" w:ascii="宋体" w:hAnsi="宋体"/>
          <w:bCs/>
          <w:color w:val="auto"/>
          <w:u w:val="none"/>
        </w:rPr>
        <w:t xml:space="preserve">                                               深圳市南山区慢性病防治院</w:t>
      </w:r>
    </w:p>
    <w:p w14:paraId="73AB44B9">
      <w:pPr>
        <w:widowControl/>
        <w:jc w:val="left"/>
        <w:rPr>
          <w:rFonts w:hint="eastAsia" w:ascii="宋体" w:hAnsi="宋体"/>
          <w:bCs/>
          <w:color w:val="auto"/>
          <w:u w:val="none"/>
        </w:rPr>
      </w:pPr>
      <w:r>
        <w:rPr>
          <w:rFonts w:ascii="宋体" w:hAnsi="宋体"/>
          <w:bCs/>
          <w:color w:val="auto"/>
          <w:u w:val="none"/>
        </w:rPr>
        <w:t xml:space="preserve">               </w:t>
      </w:r>
    </w:p>
    <w:p w14:paraId="0C786ED6">
      <w:pPr>
        <w:widowControl/>
        <w:jc w:val="left"/>
        <w:rPr>
          <w:rFonts w:asciiTheme="majorHAnsi" w:hAnsiTheme="majorHAnsi" w:eastAsiaTheme="majorEastAsia" w:cstheme="majorBidi"/>
          <w:bCs/>
          <w:color w:val="auto"/>
          <w:w w:val="95"/>
          <w:sz w:val="28"/>
          <w:szCs w:val="28"/>
          <w:u w:val="none"/>
        </w:rPr>
      </w:pPr>
      <w:r>
        <w:rPr>
          <w:rFonts w:hint="eastAsia" w:ascii="宋体" w:hAnsi="宋体"/>
          <w:bCs/>
          <w:color w:val="auto"/>
          <w:u w:val="none"/>
        </w:rPr>
        <w:t xml:space="preserve"> </w:t>
      </w:r>
      <w:r>
        <w:rPr>
          <w:rFonts w:ascii="宋体" w:hAnsi="宋体"/>
          <w:bCs/>
          <w:color w:val="auto"/>
          <w:u w:val="none"/>
        </w:rPr>
        <w:t xml:space="preserve">                                                       </w:t>
      </w:r>
      <w:r>
        <w:rPr>
          <w:rFonts w:hint="eastAsia" w:ascii="宋体" w:hAnsi="宋体"/>
          <w:bCs/>
          <w:color w:val="auto"/>
          <w:u w:val="none"/>
          <w:lang w:val="en-US" w:eastAsia="zh-CN"/>
        </w:rPr>
        <w:t>2025</w:t>
      </w:r>
      <w:r>
        <w:rPr>
          <w:rFonts w:hint="eastAsia" w:ascii="宋体" w:hAnsi="宋体"/>
          <w:bCs/>
          <w:color w:val="auto"/>
          <w:u w:val="none"/>
        </w:rPr>
        <w:t xml:space="preserve">年 </w:t>
      </w:r>
      <w:r>
        <w:rPr>
          <w:rFonts w:hint="eastAsia" w:ascii="宋体" w:hAnsi="宋体"/>
          <w:bCs/>
          <w:color w:val="auto"/>
          <w:u w:val="none"/>
          <w:lang w:val="en-US" w:eastAsia="zh-CN"/>
        </w:rPr>
        <w:t>6</w:t>
      </w:r>
      <w:r>
        <w:rPr>
          <w:rFonts w:hint="eastAsia" w:ascii="宋体" w:hAnsi="宋体"/>
          <w:bCs/>
          <w:color w:val="auto"/>
          <w:u w:val="none"/>
        </w:rPr>
        <w:t xml:space="preserve">   月 </w:t>
      </w:r>
      <w:r>
        <w:rPr>
          <w:rFonts w:hint="eastAsia" w:ascii="宋体" w:hAnsi="宋体"/>
          <w:bCs/>
          <w:color w:val="auto"/>
          <w:u w:val="none"/>
          <w:lang w:val="en-US" w:eastAsia="zh-CN"/>
        </w:rPr>
        <w:t>16</w:t>
      </w:r>
      <w:r>
        <w:rPr>
          <w:rFonts w:hint="eastAsia" w:ascii="宋体" w:hAnsi="宋体"/>
          <w:bCs/>
          <w:color w:val="auto"/>
          <w:u w:val="none"/>
        </w:rPr>
        <w:t xml:space="preserve">   日</w:t>
      </w:r>
    </w:p>
    <w:p w14:paraId="40F91B35">
      <w:pPr>
        <w:pStyle w:val="2"/>
        <w:rPr>
          <w:color w:val="auto"/>
          <w:u w:val="none"/>
        </w:rPr>
      </w:pPr>
    </w:p>
    <w:p w14:paraId="43E5F308">
      <w:pPr>
        <w:pStyle w:val="2"/>
        <w:rPr>
          <w:rFonts w:hint="eastAsia" w:ascii="宋体" w:hAnsi="宋体"/>
          <w:color w:val="auto"/>
          <w:u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长城仿宋">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方正仿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0D2E1"/>
    <w:multiLevelType w:val="singleLevel"/>
    <w:tmpl w:val="8900D2E1"/>
    <w:lvl w:ilvl="0" w:tentative="0">
      <w:start w:val="1"/>
      <w:numFmt w:val="decimal"/>
      <w:suff w:val="nothing"/>
      <w:lvlText w:val="%1、"/>
      <w:lvlJc w:val="left"/>
    </w:lvl>
  </w:abstractNum>
  <w:abstractNum w:abstractNumId="1">
    <w:nsid w:val="8FBDAA39"/>
    <w:multiLevelType w:val="singleLevel"/>
    <w:tmpl w:val="8FBDAA39"/>
    <w:lvl w:ilvl="0" w:tentative="0">
      <w:start w:val="1"/>
      <w:numFmt w:val="decimal"/>
      <w:lvlText w:val="%1."/>
      <w:lvlJc w:val="left"/>
      <w:pPr>
        <w:tabs>
          <w:tab w:val="left" w:pos="312"/>
        </w:tabs>
      </w:pPr>
    </w:lvl>
  </w:abstractNum>
  <w:abstractNum w:abstractNumId="2">
    <w:nsid w:val="9F5E085A"/>
    <w:multiLevelType w:val="singleLevel"/>
    <w:tmpl w:val="9F5E085A"/>
    <w:lvl w:ilvl="0" w:tentative="0">
      <w:start w:val="1"/>
      <w:numFmt w:val="decimal"/>
      <w:lvlText w:val="%1."/>
      <w:lvlJc w:val="left"/>
      <w:pPr>
        <w:tabs>
          <w:tab w:val="left" w:pos="312"/>
        </w:tabs>
      </w:pPr>
    </w:lvl>
  </w:abstractNum>
  <w:abstractNum w:abstractNumId="3">
    <w:nsid w:val="CCEAAD88"/>
    <w:multiLevelType w:val="singleLevel"/>
    <w:tmpl w:val="CCEAAD88"/>
    <w:lvl w:ilvl="0" w:tentative="0">
      <w:start w:val="1"/>
      <w:numFmt w:val="decimal"/>
      <w:lvlText w:val="%1."/>
      <w:lvlJc w:val="left"/>
      <w:pPr>
        <w:tabs>
          <w:tab w:val="left" w:pos="312"/>
        </w:tabs>
      </w:pPr>
    </w:lvl>
  </w:abstractNum>
  <w:abstractNum w:abstractNumId="4">
    <w:nsid w:val="DB1ABDB5"/>
    <w:multiLevelType w:val="singleLevel"/>
    <w:tmpl w:val="DB1ABDB5"/>
    <w:lvl w:ilvl="0" w:tentative="0">
      <w:start w:val="1"/>
      <w:numFmt w:val="decimal"/>
      <w:lvlText w:val="%1."/>
      <w:lvlJc w:val="left"/>
      <w:pPr>
        <w:tabs>
          <w:tab w:val="left" w:pos="312"/>
        </w:tabs>
      </w:pPr>
    </w:lvl>
  </w:abstractNum>
  <w:abstractNum w:abstractNumId="5">
    <w:nsid w:val="FC2A00DD"/>
    <w:multiLevelType w:val="singleLevel"/>
    <w:tmpl w:val="FC2A00DD"/>
    <w:lvl w:ilvl="0" w:tentative="0">
      <w:start w:val="1"/>
      <w:numFmt w:val="decimal"/>
      <w:lvlText w:val="%1."/>
      <w:lvlJc w:val="left"/>
      <w:pPr>
        <w:tabs>
          <w:tab w:val="left" w:pos="312"/>
        </w:tabs>
      </w:pPr>
    </w:lvl>
  </w:abstractNum>
  <w:abstractNum w:abstractNumId="6">
    <w:nsid w:val="4B25C4D6"/>
    <w:multiLevelType w:val="singleLevel"/>
    <w:tmpl w:val="4B25C4D6"/>
    <w:lvl w:ilvl="0" w:tentative="0">
      <w:start w:val="3"/>
      <w:numFmt w:val="chineseCounting"/>
      <w:suff w:val="nothing"/>
      <w:lvlText w:val="%1、"/>
      <w:lvlJc w:val="left"/>
      <w:rPr>
        <w:rFonts w:hint="eastAsia"/>
      </w:rPr>
    </w:lvl>
  </w:abstractNum>
  <w:abstractNum w:abstractNumId="7">
    <w:nsid w:val="5A3E5598"/>
    <w:multiLevelType w:val="multilevel"/>
    <w:tmpl w:val="5A3E559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0467CB9"/>
    <w:multiLevelType w:val="singleLevel"/>
    <w:tmpl w:val="60467CB9"/>
    <w:lvl w:ilvl="0" w:tentative="0">
      <w:start w:val="1"/>
      <w:numFmt w:val="decimal"/>
      <w:lvlText w:val="%1."/>
      <w:lvlJc w:val="left"/>
      <w:pPr>
        <w:tabs>
          <w:tab w:val="left" w:pos="312"/>
        </w:tabs>
      </w:pPr>
    </w:lvl>
  </w:abstractNum>
  <w:abstractNum w:abstractNumId="9">
    <w:nsid w:val="6A4C246D"/>
    <w:multiLevelType w:val="multilevel"/>
    <w:tmpl w:val="6A4C246D"/>
    <w:lvl w:ilvl="0" w:tentative="0">
      <w:start w:val="1"/>
      <w:numFmt w:val="japaneseCounting"/>
      <w:lvlText w:val="%1、"/>
      <w:lvlJc w:val="left"/>
      <w:pPr>
        <w:ind w:left="420" w:hanging="420"/>
      </w:pPr>
      <w:rPr>
        <w:rFonts w:hint="default" w:cs="宋体"/>
        <w:b w:val="0"/>
        <w:color w:val="auto"/>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9"/>
  </w:num>
  <w:num w:numId="2">
    <w:abstractNumId w:val="0"/>
  </w:num>
  <w:num w:numId="3">
    <w:abstractNumId w:val="2"/>
  </w:num>
  <w:num w:numId="4">
    <w:abstractNumId w:val="1"/>
  </w:num>
  <w:num w:numId="5">
    <w:abstractNumId w:val="3"/>
  </w:num>
  <w:num w:numId="6">
    <w:abstractNumId w:val="8"/>
  </w:num>
  <w:num w:numId="7">
    <w:abstractNumId w:val="4"/>
  </w:num>
  <w:num w:numId="8">
    <w:abstractNumId w:val="5"/>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lOTI5ZjA2MDc5OGNmODFkZjQzZWMyY2U2NTk5MTcifQ=="/>
  </w:docVars>
  <w:rsids>
    <w:rsidRoot w:val="008F5398"/>
    <w:rsid w:val="00021401"/>
    <w:rsid w:val="00034161"/>
    <w:rsid w:val="00037274"/>
    <w:rsid w:val="0004196D"/>
    <w:rsid w:val="00042CF1"/>
    <w:rsid w:val="00056C90"/>
    <w:rsid w:val="00067D6B"/>
    <w:rsid w:val="0007638C"/>
    <w:rsid w:val="0008268D"/>
    <w:rsid w:val="000950A4"/>
    <w:rsid w:val="000B68E3"/>
    <w:rsid w:val="000E63D1"/>
    <w:rsid w:val="00112379"/>
    <w:rsid w:val="00125EA5"/>
    <w:rsid w:val="00131743"/>
    <w:rsid w:val="001409FD"/>
    <w:rsid w:val="00144948"/>
    <w:rsid w:val="0017443D"/>
    <w:rsid w:val="001A4B30"/>
    <w:rsid w:val="001B3336"/>
    <w:rsid w:val="001B38D6"/>
    <w:rsid w:val="002072B0"/>
    <w:rsid w:val="0024454B"/>
    <w:rsid w:val="002523AA"/>
    <w:rsid w:val="00267349"/>
    <w:rsid w:val="00276DE8"/>
    <w:rsid w:val="00281E06"/>
    <w:rsid w:val="002A367D"/>
    <w:rsid w:val="002B2067"/>
    <w:rsid w:val="002B216F"/>
    <w:rsid w:val="002C5E1F"/>
    <w:rsid w:val="00306DCE"/>
    <w:rsid w:val="00316BF4"/>
    <w:rsid w:val="003171DA"/>
    <w:rsid w:val="0031753B"/>
    <w:rsid w:val="00337CBD"/>
    <w:rsid w:val="0034683C"/>
    <w:rsid w:val="0037101C"/>
    <w:rsid w:val="00380666"/>
    <w:rsid w:val="00385F9E"/>
    <w:rsid w:val="003872F9"/>
    <w:rsid w:val="003D7496"/>
    <w:rsid w:val="003E4639"/>
    <w:rsid w:val="003E63EB"/>
    <w:rsid w:val="004004CD"/>
    <w:rsid w:val="00423194"/>
    <w:rsid w:val="00430202"/>
    <w:rsid w:val="0044172E"/>
    <w:rsid w:val="00470E62"/>
    <w:rsid w:val="00480719"/>
    <w:rsid w:val="004C11D3"/>
    <w:rsid w:val="004E1F2F"/>
    <w:rsid w:val="0050546A"/>
    <w:rsid w:val="005243E2"/>
    <w:rsid w:val="00531E9E"/>
    <w:rsid w:val="005468D9"/>
    <w:rsid w:val="005726B9"/>
    <w:rsid w:val="005A6AB2"/>
    <w:rsid w:val="005B1E2B"/>
    <w:rsid w:val="005C46AE"/>
    <w:rsid w:val="005E0F43"/>
    <w:rsid w:val="005F10CF"/>
    <w:rsid w:val="005F541D"/>
    <w:rsid w:val="00631B41"/>
    <w:rsid w:val="006469D7"/>
    <w:rsid w:val="00651E7E"/>
    <w:rsid w:val="0065484B"/>
    <w:rsid w:val="00656D79"/>
    <w:rsid w:val="00664643"/>
    <w:rsid w:val="00681661"/>
    <w:rsid w:val="006A1F86"/>
    <w:rsid w:val="006B2674"/>
    <w:rsid w:val="006C7D49"/>
    <w:rsid w:val="00705CF3"/>
    <w:rsid w:val="007423F8"/>
    <w:rsid w:val="00760DCD"/>
    <w:rsid w:val="007659B5"/>
    <w:rsid w:val="00771677"/>
    <w:rsid w:val="00777674"/>
    <w:rsid w:val="00784FAB"/>
    <w:rsid w:val="007A151E"/>
    <w:rsid w:val="007D1909"/>
    <w:rsid w:val="007E32F8"/>
    <w:rsid w:val="00834AEB"/>
    <w:rsid w:val="00837450"/>
    <w:rsid w:val="008677E3"/>
    <w:rsid w:val="008A7C05"/>
    <w:rsid w:val="008E22E5"/>
    <w:rsid w:val="008F5398"/>
    <w:rsid w:val="008F7008"/>
    <w:rsid w:val="0090252C"/>
    <w:rsid w:val="00962703"/>
    <w:rsid w:val="009A23AC"/>
    <w:rsid w:val="009E5EEC"/>
    <w:rsid w:val="00A0474D"/>
    <w:rsid w:val="00A071CD"/>
    <w:rsid w:val="00A25371"/>
    <w:rsid w:val="00A3634A"/>
    <w:rsid w:val="00A42138"/>
    <w:rsid w:val="00A552F9"/>
    <w:rsid w:val="00A74F45"/>
    <w:rsid w:val="00A915A7"/>
    <w:rsid w:val="00AD5DEB"/>
    <w:rsid w:val="00AD70F4"/>
    <w:rsid w:val="00AF65A5"/>
    <w:rsid w:val="00B02AEB"/>
    <w:rsid w:val="00B45949"/>
    <w:rsid w:val="00B51309"/>
    <w:rsid w:val="00B6021D"/>
    <w:rsid w:val="00BB65BA"/>
    <w:rsid w:val="00BD1E7D"/>
    <w:rsid w:val="00BD3125"/>
    <w:rsid w:val="00BE1C6B"/>
    <w:rsid w:val="00BF3D54"/>
    <w:rsid w:val="00BF49B4"/>
    <w:rsid w:val="00C05953"/>
    <w:rsid w:val="00C15E58"/>
    <w:rsid w:val="00C44B47"/>
    <w:rsid w:val="00C66030"/>
    <w:rsid w:val="00C67F1C"/>
    <w:rsid w:val="00C95F52"/>
    <w:rsid w:val="00CA4C35"/>
    <w:rsid w:val="00CD3FD3"/>
    <w:rsid w:val="00CD600C"/>
    <w:rsid w:val="00CE0254"/>
    <w:rsid w:val="00CF6200"/>
    <w:rsid w:val="00CF6DA7"/>
    <w:rsid w:val="00D04098"/>
    <w:rsid w:val="00D0461F"/>
    <w:rsid w:val="00D21EB4"/>
    <w:rsid w:val="00D3531D"/>
    <w:rsid w:val="00D67A4A"/>
    <w:rsid w:val="00DE1BB5"/>
    <w:rsid w:val="00DE4551"/>
    <w:rsid w:val="00DF7536"/>
    <w:rsid w:val="00E17DD1"/>
    <w:rsid w:val="00E248DC"/>
    <w:rsid w:val="00E27D5B"/>
    <w:rsid w:val="00E43016"/>
    <w:rsid w:val="00E64F37"/>
    <w:rsid w:val="00E816E9"/>
    <w:rsid w:val="00E8740C"/>
    <w:rsid w:val="00E9223E"/>
    <w:rsid w:val="00EA13C3"/>
    <w:rsid w:val="00F03D48"/>
    <w:rsid w:val="00F7483C"/>
    <w:rsid w:val="00F87111"/>
    <w:rsid w:val="00FA23F4"/>
    <w:rsid w:val="00FA5362"/>
    <w:rsid w:val="00FD35C9"/>
    <w:rsid w:val="01BE27DC"/>
    <w:rsid w:val="02412724"/>
    <w:rsid w:val="04EF7D01"/>
    <w:rsid w:val="05EF21A1"/>
    <w:rsid w:val="06155EB5"/>
    <w:rsid w:val="064918B1"/>
    <w:rsid w:val="07DE427B"/>
    <w:rsid w:val="0B382971"/>
    <w:rsid w:val="0BD2492B"/>
    <w:rsid w:val="0CC92EC9"/>
    <w:rsid w:val="0FBC7598"/>
    <w:rsid w:val="0FFE195E"/>
    <w:rsid w:val="11A726EA"/>
    <w:rsid w:val="11B752FA"/>
    <w:rsid w:val="11C6025A"/>
    <w:rsid w:val="14672E2E"/>
    <w:rsid w:val="15190FE8"/>
    <w:rsid w:val="16943911"/>
    <w:rsid w:val="16A224F1"/>
    <w:rsid w:val="18A265CF"/>
    <w:rsid w:val="197D3DD6"/>
    <w:rsid w:val="19840A9B"/>
    <w:rsid w:val="1A366198"/>
    <w:rsid w:val="1C4F3D26"/>
    <w:rsid w:val="1CB66E28"/>
    <w:rsid w:val="1CF76742"/>
    <w:rsid w:val="1E775D6E"/>
    <w:rsid w:val="1F240CB5"/>
    <w:rsid w:val="1F695EF1"/>
    <w:rsid w:val="206F448D"/>
    <w:rsid w:val="20C52A3F"/>
    <w:rsid w:val="21912FA1"/>
    <w:rsid w:val="24146994"/>
    <w:rsid w:val="25502F63"/>
    <w:rsid w:val="25756914"/>
    <w:rsid w:val="25954A07"/>
    <w:rsid w:val="26B02E2F"/>
    <w:rsid w:val="26C13DEE"/>
    <w:rsid w:val="270513CC"/>
    <w:rsid w:val="28017DE6"/>
    <w:rsid w:val="28094EEC"/>
    <w:rsid w:val="283D64A2"/>
    <w:rsid w:val="2987431B"/>
    <w:rsid w:val="2AB32E9D"/>
    <w:rsid w:val="2AC84BEB"/>
    <w:rsid w:val="2B40445F"/>
    <w:rsid w:val="2B473D61"/>
    <w:rsid w:val="2BD17ACF"/>
    <w:rsid w:val="2C006E8B"/>
    <w:rsid w:val="2DDC26DE"/>
    <w:rsid w:val="2ED13915"/>
    <w:rsid w:val="2FBD33E6"/>
    <w:rsid w:val="30A16304"/>
    <w:rsid w:val="3392223A"/>
    <w:rsid w:val="339C23C2"/>
    <w:rsid w:val="35DF0236"/>
    <w:rsid w:val="36076D21"/>
    <w:rsid w:val="37351975"/>
    <w:rsid w:val="37B9372F"/>
    <w:rsid w:val="37C23799"/>
    <w:rsid w:val="39273424"/>
    <w:rsid w:val="395A7BCE"/>
    <w:rsid w:val="396226AE"/>
    <w:rsid w:val="396227C4"/>
    <w:rsid w:val="3CE93B4E"/>
    <w:rsid w:val="3E6469BA"/>
    <w:rsid w:val="3ED2798E"/>
    <w:rsid w:val="4127426D"/>
    <w:rsid w:val="41DE08BA"/>
    <w:rsid w:val="42843695"/>
    <w:rsid w:val="431C194E"/>
    <w:rsid w:val="43E16BD7"/>
    <w:rsid w:val="4416031D"/>
    <w:rsid w:val="46853538"/>
    <w:rsid w:val="48A61E91"/>
    <w:rsid w:val="4CF3612B"/>
    <w:rsid w:val="4CFB7DCF"/>
    <w:rsid w:val="4D881DCC"/>
    <w:rsid w:val="4F932C84"/>
    <w:rsid w:val="505136BA"/>
    <w:rsid w:val="51ED0539"/>
    <w:rsid w:val="52A77B1F"/>
    <w:rsid w:val="530A1019"/>
    <w:rsid w:val="544D7D8B"/>
    <w:rsid w:val="59E64183"/>
    <w:rsid w:val="5B24736C"/>
    <w:rsid w:val="5B871DD5"/>
    <w:rsid w:val="5BFD230F"/>
    <w:rsid w:val="5C423F4D"/>
    <w:rsid w:val="5C734107"/>
    <w:rsid w:val="5C935F66"/>
    <w:rsid w:val="5D43609B"/>
    <w:rsid w:val="5EC366BA"/>
    <w:rsid w:val="5FDC13CE"/>
    <w:rsid w:val="60E64493"/>
    <w:rsid w:val="62530579"/>
    <w:rsid w:val="632717A7"/>
    <w:rsid w:val="63EC30CE"/>
    <w:rsid w:val="668A0DFC"/>
    <w:rsid w:val="6704580E"/>
    <w:rsid w:val="67937EC6"/>
    <w:rsid w:val="67B94569"/>
    <w:rsid w:val="68B22A36"/>
    <w:rsid w:val="690B2A6E"/>
    <w:rsid w:val="69D57E21"/>
    <w:rsid w:val="6AE31578"/>
    <w:rsid w:val="6BB8615E"/>
    <w:rsid w:val="6C394C31"/>
    <w:rsid w:val="6D9C0CCB"/>
    <w:rsid w:val="6E301E58"/>
    <w:rsid w:val="6E4A555D"/>
    <w:rsid w:val="6E874183"/>
    <w:rsid w:val="708609FA"/>
    <w:rsid w:val="70BD635F"/>
    <w:rsid w:val="7138312B"/>
    <w:rsid w:val="71CC00E9"/>
    <w:rsid w:val="71D451F0"/>
    <w:rsid w:val="71EC3CCF"/>
    <w:rsid w:val="72CD5B18"/>
    <w:rsid w:val="73D00543"/>
    <w:rsid w:val="73F64BA7"/>
    <w:rsid w:val="74200B40"/>
    <w:rsid w:val="74DA5FAC"/>
    <w:rsid w:val="75041948"/>
    <w:rsid w:val="751678CE"/>
    <w:rsid w:val="763712CB"/>
    <w:rsid w:val="77A25449"/>
    <w:rsid w:val="77E31CE9"/>
    <w:rsid w:val="77FC0FFD"/>
    <w:rsid w:val="7858337E"/>
    <w:rsid w:val="79567AD8"/>
    <w:rsid w:val="7A4A3762"/>
    <w:rsid w:val="7D6D3F91"/>
    <w:rsid w:val="7DBF5699"/>
    <w:rsid w:val="7E2D4A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spacing w:before="340" w:after="330" w:line="360" w:lineRule="auto"/>
      <w:jc w:val="center"/>
      <w:outlineLvl w:val="0"/>
    </w:pPr>
    <w:rPr>
      <w:rFonts w:ascii="Times New Roman" w:hAnsi="Times New Roman" w:eastAsia="黑体"/>
      <w:kern w:val="44"/>
      <w:szCs w:val="44"/>
    </w:rPr>
  </w:style>
  <w:style w:type="paragraph" w:styleId="4">
    <w:name w:val="heading 3"/>
    <w:basedOn w:val="5"/>
    <w:next w:val="1"/>
    <w:link w:val="27"/>
    <w:qFormat/>
    <w:uiPriority w:val="0"/>
    <w:pPr>
      <w:spacing w:before="260" w:after="260" w:line="240" w:lineRule="auto"/>
      <w:outlineLvl w:val="2"/>
    </w:pPr>
    <w:rPr>
      <w:rFonts w:ascii="宋体" w:hAnsi="宋体" w:eastAsia="宋体" w:cs="Times New Roman"/>
      <w:bCs w:val="0"/>
      <w:szCs w:val="32"/>
    </w:rPr>
  </w:style>
  <w:style w:type="paragraph" w:styleId="5">
    <w:name w:val="heading 4"/>
    <w:basedOn w:val="1"/>
    <w:next w:val="1"/>
    <w:link w:val="29"/>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360" w:lineRule="auto"/>
    </w:pPr>
    <w:rPr>
      <w:b/>
      <w:bCs/>
      <w:sz w:val="24"/>
    </w:rPr>
  </w:style>
  <w:style w:type="paragraph" w:styleId="6">
    <w:name w:val="Normal Indent"/>
    <w:basedOn w:val="1"/>
    <w:next w:val="2"/>
    <w:qFormat/>
    <w:uiPriority w:val="99"/>
    <w:pPr>
      <w:ind w:firstLine="420" w:firstLineChars="200"/>
    </w:pPr>
  </w:style>
  <w:style w:type="paragraph" w:styleId="7">
    <w:name w:val="annotation text"/>
    <w:basedOn w:val="1"/>
    <w:link w:val="19"/>
    <w:semiHidden/>
    <w:unhideWhenUsed/>
    <w:qFormat/>
    <w:uiPriority w:val="99"/>
    <w:pPr>
      <w:jc w:val="left"/>
    </w:pPr>
  </w:style>
  <w:style w:type="paragraph" w:styleId="8">
    <w:name w:val="Balloon Text"/>
    <w:basedOn w:val="1"/>
    <w:link w:val="21"/>
    <w:semiHidden/>
    <w:unhideWhenUsed/>
    <w:qFormat/>
    <w:uiPriority w:val="99"/>
    <w:rPr>
      <w:sz w:val="18"/>
      <w:szCs w:val="18"/>
    </w:rPr>
  </w:style>
  <w:style w:type="paragraph" w:styleId="9">
    <w:name w:val="footer"/>
    <w:basedOn w:val="1"/>
    <w:link w:val="23"/>
    <w:unhideWhenUsed/>
    <w:qFormat/>
    <w:uiPriority w:val="99"/>
    <w:pPr>
      <w:tabs>
        <w:tab w:val="center" w:pos="4153"/>
        <w:tab w:val="right" w:pos="8306"/>
      </w:tabs>
      <w:snapToGrid w:val="0"/>
      <w:jc w:val="left"/>
    </w:pPr>
    <w:rPr>
      <w:sz w:val="18"/>
      <w:szCs w:val="18"/>
    </w:rPr>
  </w:style>
  <w:style w:type="paragraph" w:styleId="10">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2"/>
    <w:basedOn w:val="1"/>
    <w:link w:val="28"/>
    <w:qFormat/>
    <w:uiPriority w:val="0"/>
    <w:pPr>
      <w:spacing w:line="360" w:lineRule="auto"/>
    </w:pPr>
    <w:rPr>
      <w:rFonts w:ascii="Times New Roman" w:hAnsi="Times New Roman" w:eastAsia="宋体" w:cs="Times New Roman"/>
      <w:sz w:val="24"/>
      <w:szCs w:val="24"/>
    </w:rPr>
  </w:style>
  <w:style w:type="paragraph" w:styleId="12">
    <w:name w:val="Title"/>
    <w:basedOn w:val="1"/>
    <w:next w:val="1"/>
    <w:qFormat/>
    <w:uiPriority w:val="0"/>
    <w:pPr>
      <w:spacing w:before="240" w:after="60" w:line="276" w:lineRule="auto"/>
      <w:jc w:val="center"/>
      <w:outlineLvl w:val="0"/>
    </w:pPr>
    <w:rPr>
      <w:rFonts w:ascii="Cambria" w:hAnsi="Cambria"/>
      <w:b/>
      <w:bCs/>
      <w:sz w:val="32"/>
      <w:szCs w:val="32"/>
    </w:rPr>
  </w:style>
  <w:style w:type="paragraph" w:styleId="13">
    <w:name w:val="annotation subject"/>
    <w:basedOn w:val="7"/>
    <w:next w:val="7"/>
    <w:link w:val="20"/>
    <w:semiHidden/>
    <w:unhideWhenUsed/>
    <w:qFormat/>
    <w:uiPriority w:val="99"/>
    <w:rPr>
      <w:b/>
      <w:bCs/>
    </w:r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semiHidden/>
    <w:unhideWhenUsed/>
    <w:qFormat/>
    <w:uiPriority w:val="99"/>
    <w:rPr>
      <w:color w:val="0000FF"/>
      <w:u w:val="single"/>
    </w:rPr>
  </w:style>
  <w:style w:type="character" w:styleId="18">
    <w:name w:val="annotation reference"/>
    <w:basedOn w:val="16"/>
    <w:unhideWhenUsed/>
    <w:qFormat/>
    <w:uiPriority w:val="0"/>
    <w:rPr>
      <w:sz w:val="21"/>
      <w:szCs w:val="21"/>
    </w:rPr>
  </w:style>
  <w:style w:type="character" w:customStyle="1" w:styleId="19">
    <w:name w:val="批注文字 字符"/>
    <w:basedOn w:val="16"/>
    <w:link w:val="7"/>
    <w:semiHidden/>
    <w:qFormat/>
    <w:uiPriority w:val="99"/>
  </w:style>
  <w:style w:type="character" w:customStyle="1" w:styleId="20">
    <w:name w:val="批注主题 字符"/>
    <w:basedOn w:val="19"/>
    <w:link w:val="13"/>
    <w:semiHidden/>
    <w:qFormat/>
    <w:uiPriority w:val="99"/>
    <w:rPr>
      <w:b/>
      <w:bCs/>
    </w:rPr>
  </w:style>
  <w:style w:type="character" w:customStyle="1" w:styleId="21">
    <w:name w:val="批注框文本 字符"/>
    <w:basedOn w:val="16"/>
    <w:link w:val="8"/>
    <w:semiHidden/>
    <w:qFormat/>
    <w:uiPriority w:val="99"/>
    <w:rPr>
      <w:sz w:val="18"/>
      <w:szCs w:val="18"/>
    </w:rPr>
  </w:style>
  <w:style w:type="character" w:customStyle="1" w:styleId="22">
    <w:name w:val="页眉 字符"/>
    <w:basedOn w:val="16"/>
    <w:link w:val="10"/>
    <w:qFormat/>
    <w:uiPriority w:val="99"/>
    <w:rPr>
      <w:sz w:val="18"/>
      <w:szCs w:val="18"/>
    </w:rPr>
  </w:style>
  <w:style w:type="character" w:customStyle="1" w:styleId="23">
    <w:name w:val="页脚 字符"/>
    <w:basedOn w:val="16"/>
    <w:link w:val="9"/>
    <w:qFormat/>
    <w:uiPriority w:val="99"/>
    <w:rPr>
      <w:sz w:val="18"/>
      <w:szCs w:val="18"/>
    </w:rPr>
  </w:style>
  <w:style w:type="character" w:customStyle="1" w:styleId="24">
    <w:name w:val="_正文段落 Char"/>
    <w:link w:val="25"/>
    <w:qFormat/>
    <w:uiPriority w:val="0"/>
    <w:rPr>
      <w:sz w:val="24"/>
      <w:szCs w:val="24"/>
    </w:rPr>
  </w:style>
  <w:style w:type="paragraph" w:customStyle="1" w:styleId="25">
    <w:name w:val="_正文段落"/>
    <w:basedOn w:val="1"/>
    <w:link w:val="24"/>
    <w:qFormat/>
    <w:uiPriority w:val="0"/>
    <w:pPr>
      <w:snapToGrid w:val="0"/>
      <w:spacing w:before="240" w:after="120" w:line="360" w:lineRule="auto"/>
      <w:ind w:firstLine="200" w:firstLineChars="200"/>
      <w:jc w:val="left"/>
    </w:pPr>
    <w:rPr>
      <w:sz w:val="24"/>
      <w:szCs w:val="24"/>
    </w:rPr>
  </w:style>
  <w:style w:type="paragraph" w:customStyle="1" w:styleId="26">
    <w:name w:val="_标题3"/>
    <w:basedOn w:val="1"/>
    <w:next w:val="25"/>
    <w:qFormat/>
    <w:uiPriority w:val="0"/>
    <w:pPr>
      <w:shd w:val="clear" w:color="auto" w:fill="FFFFFF"/>
      <w:spacing w:line="360" w:lineRule="auto"/>
      <w:outlineLvl w:val="2"/>
    </w:pPr>
    <w:rPr>
      <w:rFonts w:ascii="宋体" w:hAnsi="宋体" w:eastAsia="宋体" w:cs="宋体"/>
      <w:color w:val="222222"/>
      <w:kern w:val="0"/>
      <w:sz w:val="28"/>
      <w:szCs w:val="28"/>
      <w:shd w:val="clear" w:color="auto" w:fill="FFFFFF"/>
    </w:rPr>
  </w:style>
  <w:style w:type="character" w:customStyle="1" w:styleId="27">
    <w:name w:val="标题 3 字符"/>
    <w:basedOn w:val="16"/>
    <w:link w:val="4"/>
    <w:qFormat/>
    <w:uiPriority w:val="0"/>
    <w:rPr>
      <w:rFonts w:ascii="宋体" w:hAnsi="宋体" w:eastAsia="宋体" w:cs="Times New Roman"/>
      <w:b/>
      <w:sz w:val="28"/>
      <w:szCs w:val="32"/>
    </w:rPr>
  </w:style>
  <w:style w:type="character" w:customStyle="1" w:styleId="28">
    <w:name w:val="正文文本 2 字符"/>
    <w:basedOn w:val="16"/>
    <w:link w:val="11"/>
    <w:qFormat/>
    <w:uiPriority w:val="0"/>
    <w:rPr>
      <w:rFonts w:ascii="Times New Roman" w:hAnsi="Times New Roman" w:eastAsia="宋体" w:cs="Times New Roman"/>
      <w:sz w:val="24"/>
      <w:szCs w:val="24"/>
    </w:rPr>
  </w:style>
  <w:style w:type="character" w:customStyle="1" w:styleId="29">
    <w:name w:val="标题 4 字符"/>
    <w:basedOn w:val="16"/>
    <w:link w:val="5"/>
    <w:semiHidden/>
    <w:qFormat/>
    <w:uiPriority w:val="9"/>
    <w:rPr>
      <w:rFonts w:asciiTheme="majorHAnsi" w:hAnsiTheme="majorHAnsi" w:eastAsiaTheme="majorEastAsia" w:cstheme="majorBidi"/>
      <w:b/>
      <w:bCs/>
      <w:sz w:val="28"/>
      <w:szCs w:val="28"/>
    </w:rPr>
  </w:style>
  <w:style w:type="paragraph" w:styleId="30">
    <w:name w:val="List Paragraph"/>
    <w:basedOn w:val="1"/>
    <w:qFormat/>
    <w:uiPriority w:val="99"/>
    <w:pPr>
      <w:ind w:firstLine="420" w:firstLineChars="200"/>
    </w:pPr>
  </w:style>
  <w:style w:type="paragraph" w:customStyle="1" w:styleId="31">
    <w:name w:val="文档正文"/>
    <w:basedOn w:val="1"/>
    <w:qFormat/>
    <w:uiPriority w:val="99"/>
    <w:pPr>
      <w:adjustRightInd w:val="0"/>
      <w:spacing w:line="480" w:lineRule="atLeast"/>
      <w:ind w:firstLine="567" w:firstLineChars="200"/>
      <w:textAlignment w:val="baseline"/>
    </w:pPr>
    <w:rPr>
      <w:rFonts w:ascii="长城仿宋"/>
      <w:kern w:val="0"/>
      <w:szCs w:val="20"/>
    </w:rPr>
  </w:style>
  <w:style w:type="paragraph" w:customStyle="1" w:styleId="32">
    <w:name w:val="Table Paragraph"/>
    <w:basedOn w:val="1"/>
    <w:qFormat/>
    <w:uiPriority w:val="1"/>
    <w:pPr>
      <w:autoSpaceDE w:val="0"/>
      <w:autoSpaceDN w:val="0"/>
      <w:jc w:val="left"/>
    </w:pPr>
    <w:rPr>
      <w:rFonts w:ascii="宋体" w:hAnsi="宋体" w:cs="宋体"/>
      <w:kern w:val="0"/>
      <w:sz w:val="22"/>
    </w:rPr>
  </w:style>
  <w:style w:type="table" w:customStyle="1" w:styleId="33">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34">
    <w:name w:val="Õý"/>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5">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7</Pages>
  <Words>3554</Words>
  <Characters>3932</Characters>
  <Lines>33</Lines>
  <Paragraphs>9</Paragraphs>
  <TotalTime>6</TotalTime>
  <ScaleCrop>false</ScaleCrop>
  <LinksUpToDate>false</LinksUpToDate>
  <CharactersWithSpaces>4405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2022-08-24T03:14:00Z</dcterms:created>
  <dc:creator>Lenovo</dc:creator>
  <cp:lastModifiedBy>许素梅</cp:lastModifiedBy>
  <cp:lastPrinted>2022-01-27T08:40:00Z</cp:lastPrinted>
  <dcterms:modified xsi:type="dcterms:W3CDTF">2025-06-16T08:52:02Z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D295C86ECD3042C4985408B01D90F42A</vt:lpwstr>
  </property>
  <property fmtid="{D5CDD505-2E9C-101B-9397-08002B2CF9AE}" pid="4" name="KSOTemplateDocerSaveRecord">
    <vt:lpwstr>eyJoZGlkIjoiNTYyN2Q5NmYwZDA1YjUwMmM4ZWNkNjc2ZDQ1MDQzZjciLCJ1c2VySWQiOiIxNzQyMTcxOSJ9</vt:lpwstr>
  </property>
</Properties>
</file>